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一日一镇为主，两日才铺三镇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一日：以一镇为主、另一镇点到为止。例A：上午黄鹤楼+过早，下午东湖听涛或省博（省博须预约且周一常闭馆）。例B：汉口江汉路+江滩，晚上看灯光秀。例C：汉阳古琴台（周二至周日，周一常闭）+晴川、龟山方向，不硬塞黄鹤楼夜场。</w:t>
      </w:r>
    </w:p>
    <w:p>
      <w:pPr>
        <w:spacing w:after="160"/>
      </w:pPr>
      <w:r>
        <w:rPr>
          <w:sz w:val="24"/>
          <w:szCs w:val="24"/>
        </w:rPr>
        <w:t xml:space="preserve">一日三镇全打卡是失败路线。长江、汉江把城市切开，移动耗时被低估就会误场。规划师输出必须含「主线+备选」和体力分级：轻松（江滩平地）、一般（登楼）、紧（跨江两次）。</w:t>
      </w:r>
    </w:p>
    <w:p>
      <w:pPr>
        <w:spacing w:after="160"/>
      </w:pPr>
      <w:r>
        <w:rPr>
          <w:sz w:val="24"/>
          <w:szCs w:val="24"/>
        </w:rPr>
        <w:t xml:space="preserve">两日：D1武昌人文（楼、巷、江滩或省博），D2汉口商业江滩或汉阳知音+夜游船。夜游长江是独立产品，约1小时航程的公开报道针对鹦鹉洲大桥至长江二桥区间，码头和班次以当日售票为准。</w:t>
      </w:r>
    </w:p>
    <w:p>
      <w:pPr>
        <w:spacing w:after="160"/>
      </w:pPr>
      <w:r>
        <w:rPr>
          <w:sz w:val="24"/>
          <w:szCs w:val="24"/>
        </w:rPr>
        <w:t xml:space="preserve">季节：春赏东湖樱（花期以景区公告为准，拥堵），夏避正午登蛇山，冬缩短江滩停留。天气恶化改室内：省博、商场、非遗展陈。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