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出租、网约车与景区停车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出租打表或平台估价，过江因拥堵差异大，不报「一定几十元」。网约车在景区、车站按交管停车点上下客，不要让司机停在黄鹤楼门口违停处。</w:t>
      </w:r>
    </w:p>
    <w:p>
      <w:pPr>
        <w:spacing w:after="160"/>
      </w:pPr>
      <w:r>
        <w:rPr>
          <w:sz w:val="24"/>
          <w:szCs w:val="24"/>
        </w:rPr>
        <w:t xml:space="preserve">黄鹤楼、古琴台、省博车位紧张。省博须知曾公布小型车收费标准，可能调整。建议公交地铁。古琴台公开提示车位少。</w:t>
      </w:r>
    </w:p>
    <w:p>
      <w:pPr>
        <w:spacing w:after="160"/>
      </w:pPr>
      <w:r>
        <w:rPr>
          <w:sz w:val="24"/>
          <w:szCs w:val="24"/>
        </w:rPr>
        <w:t xml:space="preserve">深夜机场落地可能无地铁，准备出租或酒店接驳，不编造班次。</w:t>
      </w:r>
    </w:p>
    <w:p>
      <w:pPr>
        <w:spacing w:after="160"/>
      </w:pPr>
      <w:r>
        <w:rPr>
          <w:sz w:val="24"/>
          <w:szCs w:val="24"/>
        </w:rPr>
        <w:t xml:space="preserve">电动车上长江大桥是否允许按交管现场，施工期规则变过。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