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伴手礼非食品选择</w:t>
      </w:r>
    </w:p>
    <w:p>
      <w:pPr>
        <w:spacing w:after="160"/>
      </w:pPr>
      <w:r>
        <w:rPr>
          <w:sz w:val="24"/>
          <w:szCs w:val="24"/>
        </w:rPr>
        <w:t xml:space="preserve">街区导购，不虚假折扣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不想带鸭货和熟食：可考虑博物馆授权文创（须在湖北省博物馆店内或馆方公布渠道，须知曾写现场售卖、线上商店开发中，以当天为准）、汉绣成品走正规店、书店图书明信片。不推荐无厂名厂址的小商品。</w:t>
      </w:r>
    </w:p>
    <w:p>
      <w:pPr>
        <w:spacing w:after="160"/>
      </w:pPr>
      <w:r>
        <w:rPr>
          <w:sz w:val="24"/>
          <w:szCs w:val="24"/>
        </w:rPr>
        <w:t xml:space="preserve">先问客人预算和能否托运行李。不说「全网最低」「内部价」。店内满减、会员折扣以当日公示为准。易碎、液体、刀具过安检以铁路航司规定为准，导购不打包「一定能带上飞机」。</w:t>
      </w:r>
    </w:p>
    <w:p>
      <w:pPr>
        <w:spacing w:after="160"/>
      </w:pPr>
      <w:r>
        <w:rPr>
          <w:sz w:val="24"/>
          <w:szCs w:val="24"/>
        </w:rPr>
        <w:t xml:space="preserve">大型行李箱在地铁高峰体验差，可提醒改时段。江汉路、汉街、省博店是常见购买场景，不必为买明信片再跨一次江。</w:t>
      </w:r>
    </w:p>
    <w:p>
      <w:pPr>
        <w:spacing w:after="160"/>
      </w:pPr>
      <w:r>
        <w:rPr>
          <w:sz w:val="24"/>
          <w:szCs w:val="24"/>
        </w:rPr>
        <w:t xml:space="preserve">食品类（鸭脖、热干面调料包）交美食顾问。假货投诉12315/12345。不留私人微商。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