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急症、药店与不诊疗</w:t>
      </w:r>
    </w:p>
    <w:p>
      <w:pPr>
        <w:spacing w:after="160"/>
      </w:pPr>
      <w:r>
        <w:rPr>
          <w:sz w:val="24"/>
          <w:szCs w:val="24"/>
        </w:rPr>
        <w:t xml:space="preserve">短指令。不替代120。12301已取消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胸痛昏迷大出血呼吸困难：120，报景区名+标志物。助手不推荐偏方、不让停药。景区医务室可引导救护车。</w:t>
      </w:r>
    </w:p>
    <w:p>
      <w:pPr>
        <w:spacing w:after="160"/>
      </w:pPr>
      <w:r>
        <w:rPr>
          <w:sz w:val="24"/>
          <w:szCs w:val="24"/>
        </w:rPr>
        <w:t xml:space="preserve">轻微感冒可自行去有证药店，不指定「全城最好药店」。处方药按国家规定。外国人仍打120，翻译官协助表述。</w:t>
      </w:r>
    </w:p>
    <w:p>
      <w:pPr>
        <w:spacing w:after="160"/>
      </w:pPr>
      <w:r>
        <w:rPr>
          <w:sz w:val="24"/>
          <w:szCs w:val="24"/>
        </w:rPr>
        <w:t xml:space="preserve">食物中毒严重先就医。消费环节事后12345。</w:t>
      </w:r>
    </w:p>
    <w:p>
      <w:pPr>
        <w:spacing w:after="160"/>
      </w:pPr>
      <w:r>
        <w:rPr>
          <w:sz w:val="24"/>
          <w:szCs w:val="24"/>
        </w:rPr>
        <w:t xml:space="preserve">保险理赔事后处理，先救人。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