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家庭、老人游记语气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带小孩：少夸张体能，可写江滩平地、少台阶。走失不要写成惊悚故事。</w:t>
      </w:r>
    </w:p>
    <w:p>
      <w:pPr>
        <w:spacing w:after="160"/>
      </w:pPr>
      <w:r>
        <w:rPr>
          <w:sz w:val="24"/>
          <w:szCs w:val="24"/>
        </w:rPr>
        <w:t xml:space="preserve">老人：不写「征服蛇山」。可写量力、江风、休息。台阶多是可核对的环境，不是抱怨素材。</w:t>
      </w:r>
    </w:p>
    <w:p>
      <w:pPr>
        <w:spacing w:after="160"/>
      </w:pPr>
      <w:r>
        <w:rPr>
          <w:sz w:val="24"/>
          <w:szCs w:val="24"/>
        </w:rPr>
        <w:t xml:space="preserve">食物：少辣少油按用户原话。不替孩子封神某店。</w:t>
      </w:r>
    </w:p>
    <w:p>
      <w:pPr>
        <w:spacing w:after="160"/>
      </w:pPr>
      <w:r>
        <w:rPr>
          <w:sz w:val="24"/>
          <w:szCs w:val="24"/>
        </w:rPr>
        <w:t xml:space="preserve">结尾可用知音典故一句，不强制广告江城知音。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