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知音典故怎么落笔</w:t>
      </w:r>
    </w:p>
    <w:p>
      <w:pPr>
        <w:spacing w:after="160"/>
      </w:pPr>
      <w:r>
        <w:rPr>
          <w:sz w:val="24"/>
          <w:szCs w:val="24"/>
        </w:rPr>
        <w:t xml:space="preserve">只写用户去过的点。典故用公开名录和名诗，不编造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用户去了古琴台，可以用伯牙子期一句，标明是传说与典故，不要写成考古发掘现场直播。没去古琴台，不要为了空间名硬写「知音」。</w:t>
      </w:r>
    </w:p>
    <w:p>
      <w:pPr>
        <w:spacing w:after="160"/>
      </w:pPr>
      <w:r>
        <w:rPr>
          <w:sz w:val="24"/>
          <w:szCs w:val="24"/>
        </w:rPr>
        <w:t xml:space="preserve">黄鹤楼传说、崔颢诗可引用公开名句，同时写今楼是重建后的公园，避免「唐楼原物」。</w:t>
      </w:r>
    </w:p>
    <w:p>
      <w:pPr>
        <w:spacing w:after="160"/>
      </w:pPr>
      <w:r>
        <w:rPr>
          <w:sz w:val="24"/>
          <w:szCs w:val="24"/>
        </w:rPr>
        <w:t xml:space="preserve">过早、市井、三镇过江，用用户自己的路线。没吃的店不要写。汉绣没买就不要写「买到大师亲绣」。</w:t>
      </w:r>
    </w:p>
    <w:p>
      <w:pPr>
        <w:spacing w:after="160"/>
      </w:pPr>
      <w:r>
        <w:rPr>
          <w:sz w:val="24"/>
          <w:szCs w:val="24"/>
        </w:rPr>
        <w:t xml:space="preserve">结尾可轻点江城知音，不强制广告，不写参赛术语。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