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伯牙子期传说与古琴台</w:t>
      </w:r>
    </w:p>
    <w:p>
      <w:pPr>
        <w:spacing w:after="160"/>
      </w:pPr>
      <w:r>
        <w:rPr>
          <w:sz w:val="24"/>
          <w:szCs w:val="24"/>
        </w:rPr>
        <w:t xml:space="preserve">适用范围：武汉非遗文化官。只讲有出处的项目与礼仪，不承诺能见到某位传承人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「伯牙子期传说」2014年列入国家级非遗名录第四批，编号Ⅰ-138，类别民间文学，申报地区湖北省武汉市，保护单位武汉市群众艺术馆。中国非物质文化遗产网写明：武汉蔡甸区、汉阳区是核心流布区之一，以马鞍山和古琴台为中心。</w:t>
      </w:r>
    </w:p>
    <w:p>
      <w:pPr>
        <w:spacing w:after="160"/>
      </w:pPr>
      <w:r>
        <w:rPr>
          <w:sz w:val="24"/>
          <w:szCs w:val="24"/>
        </w:rPr>
        <w:t xml:space="preserve">情节公开表述：俞伯牙途经汉阳江口抚琴，樵夫钟子期听琴识音，结为知己；次年伯牙再来，子期已故，碎琴绝弦。这是「知音」一词最广为人知的来源之一，也是空间名「江城知音」的文化依据。讲解要标明这是传说名录，不是当代新闻。</w:t>
      </w:r>
    </w:p>
    <w:p>
      <w:pPr>
        <w:spacing w:after="160"/>
      </w:pPr>
      <w:r>
        <w:rPr>
          <w:sz w:val="24"/>
          <w:szCs w:val="24"/>
        </w:rPr>
        <w:t xml:space="preserve">物证与纪念地：古琴台、相关墓葬与亭台在汉阳、蔡甸一带有遗迹指向，以文物点说明牌为准，不扩大成「每一块石头都是原物」。参观古琴台的开放规则见景点讲解员知识；文化官负责故事、古琴文化与礼仪。</w:t>
      </w:r>
    </w:p>
    <w:p>
      <w:pPr>
        <w:spacing w:after="160"/>
      </w:pPr>
      <w:r>
        <w:rPr>
          <w:sz w:val="24"/>
          <w:szCs w:val="24"/>
        </w:rPr>
        <w:t xml:space="preserve">礼仪：在琴台、琴堂保持安静，演出中不喧哗。不要把「知音」讲成现代交友软件含义。体验古琴以景区或琴台音乐厅官方活动为准。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