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问数问答智能体架构修改建议</w:t>
      </w:r>
    </w:p>
    <w:p>
      <w:pPr>
        <w:pStyle w:val="Subtitle"/>
      </w:pPr>
      <w:r>
        <w:t>团队讨论版 v0.1    2026年9月27日    编制 项目负责人</w:t>
      </w:r>
    </w:p>
    <w:p>
      <w:r>
        <w:t>建议保留既定技术栈与五层结构，将在线主流程组织为带证据依赖的任务规划、执行和验证。各工具围绕同一份任务计划提供事实；验证结果决定继续、补查、澄清或报告不足。本文供组员讨论，不代表公共接口、业务场景或人员分工已经变更。</w:t>
      </w:r>
    </w:p>
    <w:p>
      <w:pPr>
        <w:pStyle w:val="Heading1"/>
      </w:pPr>
      <w:r>
        <w:t>一 修改目标</w:t>
      </w:r>
    </w:p>
    <w:p>
      <w:r>
        <w:t>导师指出项目像技术的罗列堆叠。现有材料已经解释了模块选型，但跨源结果如何共同支持一条结论、遇到缺失或冲突如何调整执行，尚未形成统一机制。把五层图改成七步流程能改善表达，仍需要补出这些机制及其验证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240"/>
        <w:gridCol w:w="5112"/>
      </w:tblGrid>
      <w:tr>
        <w:trPr>
          <w:tblHeader/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  <w:jc w:val="center"/>
            </w:pPr>
            <w:r>
              <w:rPr>
                <w:b/>
                <w:color w:val="000000"/>
                <w:sz w:val="21"/>
              </w:rPr>
              <w:t>方面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现有基础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建议修改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整体主线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算与查的路由及工具调用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先列待回答事实及依赖，再选择执行方式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跨源协作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统一工具结果与中间实体传递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校验对象对应、有效时间、指标口径和单位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可信输出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调用记录与来源引用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逐条关联结论和证据，区分执行成功与事实支持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失败处理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模块内回退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按失败类型定向补查、澄清、展示冲突或部分回答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创新证明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功能测试与阶段实验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固定条件对照，报告正确率、证据完整性与额外耗时</w:t>
            </w:r>
          </w:p>
        </w:tc>
      </w:tr>
    </w:tbl>
    <w:p>
      <w:pPr>
        <w:spacing w:line="20" w:lineRule="exact" w:after="120"/>
      </w:pPr>
      <w:r>
        <w:rPr>
          <w:sz w:val="2"/>
        </w:rPr>
      </w:r>
    </w:p>
    <w:p>
      <w:r>
        <w:t>五层图继续说明系统组成与部署。单智能体、自研轻量编排、PostgreSQL、sqlglot和现有检索链路维持既定约束。初期仅在单次问答内维护事实依赖，不新增一套全局图数据库。</w:t>
      </w:r>
    </w:p>
    <w:p>
      <w:pPr>
        <w:pStyle w:val="Heading2"/>
      </w:pPr>
      <w:r>
        <w:t>创新表述的边界</w:t>
      </w:r>
    </w:p>
    <w:p>
      <w:r>
        <w:t>拟研究的贡献是受证据约束的跨源任务执行与定向修复。成立条件是同条件实验能说明该机制减少了哪类错误，以及增加了多少成本。当前不宣称行业首创、图谱普遍优于向量或整体架构已实现。</w:t>
      </w:r>
    </w:p>
    <w:p>
      <w:pPr>
        <w:pStyle w:val="Heading1"/>
        <w:pageBreakBefore/>
      </w:pPr>
      <w:r>
        <w:t>二 架构视图与在线主流程</w:t>
      </w:r>
    </w:p>
    <w:p>
      <w:r>
        <w:t>架构材料分为数据准备、在线问答和离线评测三个视图。单次任务依赖可表示为有向无环图（DAG），即前置事实先取得、依赖事实后执行；含重试的完整运行流程用有界状态转换表达。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176"/>
        <w:gridCol w:w="4176"/>
      </w:tblGrid>
      <w:tr>
        <w:trPr>
          <w:tblHeader/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  <w:jc w:val="center"/>
            </w:pPr>
            <w:r>
              <w:rPr>
                <w:b/>
                <w:color w:val="000000"/>
                <w:sz w:val="21"/>
              </w:rPr>
              <w:t>视图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主要过程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关注点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数据准备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解析、目录识别、层级切片、来源保留、索引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非标准文档处理、主键或实体关联、入库失败记录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在线问答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理解、计划、工具执行、事实关联、验证、输出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跨源依赖、失败分支、用户澄清和来源冲突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离线评测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冻结用例、运行对照、审计引用、错误归因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评测是研发验证，不是每次回答的末端工具</w:t>
            </w:r>
          </w:p>
        </w:tc>
      </w:tr>
    </w:tbl>
    <w:p>
      <w:pPr>
        <w:spacing w:line="20" w:lineRule="exact" w:after="120"/>
      </w:pPr>
      <w:r>
        <w:rPr>
          <w:sz w:val="2"/>
        </w:rPr>
      </w:r>
    </w:p>
    <w:p>
      <w:pPr>
        <w:pStyle w:val="Heading2"/>
      </w:pPr>
      <w:r>
        <w:t>在线流程的建议顺序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536"/>
        <w:gridCol w:w="3816"/>
      </w:tblGrid>
      <w:tr>
        <w:trPr>
          <w:tblHeader/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  <w:jc w:val="center"/>
            </w:pPr>
            <w:r>
              <w:rPr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输入与产出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执行条件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 理解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保留原问句，识别对象、时间、指标与别名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歧义别名不强制改写；确有必要时澄清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2 计划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待回答事实、依赖、工具候选与完成条件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缺少关键条件的任务不进入执行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3 执行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SQL结果或检索片段，以及真实来源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前置事实已取得；SQL经语法树与只读校验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4 关联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事实值、来源定位、前置事实与校验记录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桥接实体必须来自实际证据，不能由模型补造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5 验证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检查对象、时间、单位、关系链及引用支持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缺口定向补查；冲突并列暴露；重试有上限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6 输出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答案、逐项依据、未确认部分与执行记录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完成条件满足才给完整结论，否则限定回答范围</w:t>
            </w:r>
          </w:p>
        </w:tc>
      </w:tr>
    </w:tbl>
    <w:p>
      <w:pPr>
        <w:spacing w:line="20" w:lineRule="exact" w:after="120"/>
      </w:pPr>
      <w:r>
        <w:rPr>
          <w:sz w:val="2"/>
        </w:rPr>
      </w:r>
    </w:p>
    <w:p>
      <w:r>
        <w:t>跨源问题可同时包含计算任务和检索任务，按依赖安排顺序或并行。算与查仍用于选择工具，但不把整个问题强制归入单一分支。调用记录（trace）记录执行事实；答案证据单独说明结论的支持关系。</w:t>
      </w:r>
    </w:p>
    <w:p>
      <w:pPr>
        <w:pStyle w:val="Heading1"/>
        <w:pageBreakBefore/>
      </w:pPr>
      <w:r>
        <w:t>三 贯穿业务场景与数据要求</w:t>
      </w:r>
    </w:p>
    <w:p>
      <w:r>
        <w:t>建议用一个能贯通数据库与文档的业务问题解释整个架构。示例为“上季度哪些设备维修超过合同约定时限，分别超过多久，依据哪条合同”。维保场景是候选方案，数据与组员分工确认后才进入实现。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240"/>
        <w:gridCol w:w="4392"/>
      </w:tblGrid>
      <w:tr>
        <w:trPr>
          <w:tblHeader/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  <w:jc w:val="center"/>
            </w:pPr>
            <w:r>
              <w:rPr>
                <w:b/>
                <w:color w:val="000000"/>
                <w:sz w:val="21"/>
              </w:rPr>
              <w:t>事实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获取方式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必须对齐的条件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工单范围与实际耗时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查询设备、工单、事件时间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固定上季度锚点；明确维修计时起止事件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设备适用合同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实体关联或合同定位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设备与合同对应唯一或可澄清；合同在事件时间有效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合同修复时限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检索条款并保留页码与章节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修复时限不能替换成响应、派单或到场时限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超时量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统一单位后确定性计算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仅使用已确认参数；工作日规则需要单独定义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最终结论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关联工单事实和合同条款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每台设备的结论都有对应记录、条款与计算依据</w:t>
            </w:r>
          </w:p>
        </w:tc>
      </w:tr>
    </w:tbl>
    <w:p>
      <w:pPr>
        <w:spacing w:line="20" w:lineRule="exact" w:after="120"/>
      </w:pPr>
      <w:r>
        <w:rPr>
          <w:sz w:val="2"/>
        </w:rPr>
      </w:r>
    </w:p>
    <w:p>
      <w:pPr>
        <w:pStyle w:val="Heading2"/>
      </w:pPr>
      <w:r>
        <w:t>数据准备必须先完成的对应关系</w:t>
      </w:r>
    </w:p>
    <w:p>
      <w:r>
        <w:t>候选演示数据至少需要设备或项目标识、工单标识、合同标识、起止时间、合同有效范围和条款来源。允许使用明确标注的自建演示数据；不得把未授权生产数据或人为拼接的对应关系当成真实业务。</w:t>
      </w:r>
    </w:p>
    <w:p>
      <w:r>
        <w:t>当前Chinook与AdventureWorks继续用于基础问数和多表定位验证。已有维保、机房文档可以支撑文档问答，但不能仅凭两类数据都存在，就声称跨源业务已贯通。</w:t>
      </w:r>
    </w:p>
    <w:p>
      <w:pPr>
        <w:pStyle w:val="Heading2"/>
      </w:pPr>
      <w:r>
        <w:t>业务场景的团队选择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3744"/>
      </w:tblGrid>
      <w:tr>
        <w:trPr>
          <w:tblHeader/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  <w:jc w:val="center"/>
            </w:pPr>
            <w:r>
              <w:rPr>
                <w:b/>
                <w:color w:val="000000"/>
                <w:sz w:val="21"/>
              </w:rPr>
              <w:t>选项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优势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代价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维保工单与合同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可复用合同语料，口径冲突直观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需要补结构化演示表和可信对应关系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既有业务库配套文档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沿用现有数据库，SQL链路改动较少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需要新增匹配同一业务对象的文档与评测</w:t>
            </w:r>
          </w:p>
        </w:tc>
      </w:tr>
    </w:tbl>
    <w:p>
      <w:pPr>
        <w:spacing w:line="20" w:lineRule="exact" w:after="120"/>
      </w:pPr>
      <w:r>
        <w:rPr>
          <w:sz w:val="2"/>
        </w:rPr>
      </w:r>
    </w:p>
    <w:p>
      <w:r>
        <w:t>团队应选择一种先跑通，不同时铺开两个行业。架构机制保持通用，首个演示场景负责证明机制能够工作。</w:t>
      </w:r>
    </w:p>
    <w:p>
      <w:pPr>
        <w:pStyle w:val="Heading1"/>
        <w:pageBreakBefore/>
      </w:pPr>
      <w:r>
        <w:t>四 最小机制与验证边界</w:t>
      </w:r>
    </w:p>
    <w:p>
      <w:r>
        <w:t>建议先在编排层内部引入任务和事实记录，通过适配现有工具结果完成协作。以下字段是讨论中的概念模型，不是已冻结的公共接口，也不要求立即加入contracts.py。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5328"/>
        <w:gridCol w:w="3024"/>
      </w:tblGrid>
      <w:tr>
        <w:trPr>
          <w:tblHeader/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  <w:jc w:val="center"/>
            </w:pPr>
            <w:r>
              <w:rPr>
                <w:b/>
                <w:color w:val="000000"/>
                <w:sz w:val="21"/>
              </w:rPr>
              <w:t>记录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建议内容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任务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标识、目标事实、前置任务、工具、必要条件、状态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确定什么时候执行以及何时算完成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事实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值、对象、时间、单位、来源、前置事实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让后续任务使用可定位的中间结果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验证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检查项、结果、依据、失败原因、下一动作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区分可继续、需补查、需澄清和证据不足</w:t>
            </w:r>
          </w:p>
        </w:tc>
      </w:tr>
    </w:tbl>
    <w:p>
      <w:pPr>
        <w:spacing w:line="20" w:lineRule="exact" w:after="120"/>
      </w:pPr>
      <w:r>
        <w:rPr>
          <w:sz w:val="2"/>
        </w:rPr>
      </w:r>
    </w:p>
    <w:p>
      <w:pPr>
        <w:pStyle w:val="Heading2"/>
      </w:pPr>
      <w:r>
        <w:t>失败结果决定下一动作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rPr>
          <w:tblHeader/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问题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处理规则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维度缺失或实体歧义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澄清后再执行相关任务；不猜时间、对象或指标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桥接实体没有可靠来源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阻断依赖任务，补查或报告不足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对象或口径不一致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修正关联与单位；无法对齐时分开报告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来源冲突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保留各方依据；仅在有明确优先级依据时裁决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重试耗尽或工具失败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停止对应分支，说明已确认部分和未完成部分</w:t>
            </w:r>
          </w:p>
        </w:tc>
      </w:tr>
    </w:tbl>
    <w:p>
      <w:pPr>
        <w:spacing w:line="20" w:lineRule="exact" w:after="120"/>
      </w:pPr>
      <w:r>
        <w:rPr>
          <w:sz w:val="2"/>
        </w:rPr>
      </w:r>
    </w:p>
    <w:p>
      <w:r>
        <w:t>重试上限、总时限和模型调用预算做成配置，具体值依据基线数据确定。修复只执行受影响任务，其他已取得的事实保留。</w:t>
      </w:r>
    </w:p>
    <w:p>
      <w:pPr>
        <w:pStyle w:val="Heading2"/>
      </w:pPr>
      <w:r>
        <w:t>代码检查与语义判断分开</w:t>
      </w:r>
    </w:p>
    <w:p>
      <w:r>
        <w:t>引用编号存在、来源可定位、字段类型、单位换算和前置依赖可由代码检查。实体在原文出现只证明值有出处，不能单独证明实体归属关系正确。复杂的事实支持判断需模型辅助与人工审计，不能把所有验证结果写成确定性正确。</w:t>
      </w:r>
    </w:p>
    <w:p>
      <w:pPr>
        <w:pStyle w:val="Heading2"/>
      </w:pPr>
      <w:r>
        <w:t>KAG的架构位置</w:t>
      </w:r>
    </w:p>
    <w:p>
      <w:r>
        <w:t>知识增强生成（KAG）用于补充复杂关系检索，触发条件需实验确定，事实与引用按统一规则验收。当前主项目kag配置仍注册模拟图工具，不标为真实接入，不自动改为默认路径。</w:t>
      </w:r>
    </w:p>
    <w:p>
      <w:pPr>
        <w:pStyle w:val="Heading1"/>
        <w:pageBreakBefore/>
      </w:pPr>
      <w:r>
        <w:t>五 实验依据与适用范围</w:t>
      </w:r>
    </w:p>
    <w:p>
      <w:r>
        <w:t>检索增强生成（RAG）先取得原文证据，再组织回答。以下数字引自2026年9月25日KAG接入实验报告［S2］。阶段之间题集和配置不同，不合成总准确率。阶段三为30道双跳留出题单次运行，人工阅读答案，引用按来源与事实自动核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728"/>
        <w:gridCol w:w="2880"/>
        <w:gridCol w:w="2016"/>
      </w:tblGrid>
      <w:tr>
        <w:trPr>
          <w:tblHeader/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  <w:jc w:val="center"/>
            </w:pPr>
            <w:r>
              <w:rPr>
                <w:b/>
                <w:color w:val="000000"/>
                <w:sz w:val="21"/>
              </w:rPr>
              <w:t>阶段三模式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人工正确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完整双文档引用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平均耗时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项目多跳RAG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26/30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25/30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9.41秒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KAG向量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16/30*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3/30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31.38秒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KAG图谱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30/30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3/30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28.42秒</w:t>
            </w:r>
          </w:p>
        </w:tc>
      </w:tr>
    </w:tbl>
    <w:p>
      <w:pPr>
        <w:spacing w:line="20" w:lineRule="exact" w:after="120"/>
      </w:pPr>
      <w:r>
        <w:rPr>
          <w:sz w:val="2"/>
        </w:rPr>
      </w:r>
    </w:p>
    <w:p>
      <w:r>
        <w:t>* KAG向量另有3题答案正确但带无关候选，原报告单列。不能直接将16/30和30/30的差异都归因于图检索，仍需核对规划与生成配置。</w:t>
      </w:r>
    </w:p>
    <w:p>
      <w:r>
        <w:t>阶段四为4道三跳合成题，每道每模式重复3次。表中12是运行次数，不是12道独立题；答案指标为关键词命中。前四臂最终上下文上限8片段，官方原版臂没有同等限制。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728"/>
        <w:gridCol w:w="2880"/>
        <w:gridCol w:w="2016"/>
      </w:tblGrid>
      <w:tr>
        <w:trPr>
          <w:tblHeader/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  <w:jc w:val="center"/>
            </w:pPr>
            <w:r>
              <w:rPr>
                <w:b/>
                <w:color w:val="000000"/>
                <w:sz w:val="21"/>
              </w:rPr>
              <w:t>阶段四模式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关键词命中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完整三事实引用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平均耗时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项目普通RAG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0/12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0/12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4.63秒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项目多跳RAG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0/12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0/12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11.30秒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KAG向量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12/12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12/12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66.47秒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KAG受控图谱混合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12/12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9/12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63.00秒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KAG官方原版混合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12/12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0/12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45.76秒</w:t>
            </w:r>
          </w:p>
        </w:tc>
      </w:tr>
    </w:tbl>
    <w:p>
      <w:pPr>
        <w:spacing w:line="20" w:lineRule="exact" w:after="120"/>
      </w:pPr>
      <w:r>
        <w:rPr>
          <w:sz w:val="2"/>
        </w:rPr>
      </w:r>
    </w:p>
    <w:p>
      <w:pPr>
        <w:pStyle w:val="Heading2"/>
      </w:pPr>
      <w:r>
        <w:t>这些结果支持什么</w:t>
      </w:r>
    </w:p>
    <w:p>
      <w:r>
        <w:t>轻量多跳有明确的双跳改善，也有三跳边界；KAG在部分复杂关系题上有补充价值，但完整引用和时延仍限制接入。早期25/30对25/30仅能说明当时题集没有观察到图谱增益，不能概括后续全部实验。</w:t>
      </w:r>
    </w:p>
    <w:p>
      <w:r>
        <w:t>文档引用存在、关键词命中、事实得到支持分别统计。标准答案回放（oracle）仅用于检查判分器，不能证明系统能力。新实验固定题集、模型、索引、配置和上下文预算，加入错误桥接、缺失证据、冲突及时间单位不一致用例。</w:t>
      </w:r>
    </w:p>
    <w:p>
      <w:pPr>
        <w:pStyle w:val="Heading1"/>
        <w:pageBreakBefore/>
      </w:pPr>
      <w:r>
        <w:t>六 推进顺序与评分对应</w:t>
      </w:r>
    </w:p>
    <w:p>
      <w:r>
        <w:t>建议先完成材料与最小场景，再逐步实现机制。组员职责仍以三份工作任务书为准；以下是工作包，不重新分配A、B、C职责。代码阶段以团队确认后的范围为准。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176"/>
        <w:gridCol w:w="3960"/>
      </w:tblGrid>
      <w:tr>
        <w:trPr>
          <w:tblHeader/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  <w:jc w:val="center"/>
            </w:pPr>
            <w:r>
              <w:rPr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产出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验收依据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A 材料修订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修订思路稿、三类架构视图、实验与现状表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已实现与待实现分开；数字能回溯；跨源机制清楚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B 最小跨源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一个场景的数据对应、任务依赖和事实来源记录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同一结论关联数据库事实与文档条款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C 验证修复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口径检查、失败状态与有界定向补查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错误关系被阻断；失败可解释；单源链路不退化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D 可选KAG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适配与选择性调用的对照实验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增益、引用与时延同时报告；未验证前不改默认路由</w:t>
            </w:r>
          </w:p>
        </w:tc>
      </w:tr>
    </w:tbl>
    <w:p>
      <w:pPr>
        <w:spacing w:line="20" w:lineRule="exact" w:after="120"/>
      </w:pPr>
      <w:r>
        <w:rPr>
          <w:sz w:val="2"/>
        </w:rPr>
      </w:r>
    </w:p>
    <w:p>
      <w:pPr>
        <w:pStyle w:val="Heading2"/>
      </w:pPr>
      <w:r>
        <w:t>初赛收益必须落到已有评分项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744"/>
        <w:gridCol w:w="4104"/>
      </w:tblGrid>
      <w:tr>
        <w:trPr>
          <w:tblHeader/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  <w:jc w:val="center"/>
            </w:pPr>
            <w:r>
              <w:rPr>
                <w:b/>
                <w:color w:val="000000"/>
                <w:sz w:val="21"/>
              </w:rPr>
              <w:t>评分项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题面分值或档位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对应修改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中级任务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每项基础5分，合计上限15分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按既定1、3、4、5、7推进；目录识别单独举证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可解释性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3分或5分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可定位来源、清晰关联与执行展示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RAG忠实度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70%/80%/90%对应6/8/10分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证据约束与独立事实审计；题面口径与内部诊断分开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系统效率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0分、3分或5分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复杂度分析、至少两档规模、瓶颈与优化策略</w:t>
            </w:r>
          </w:p>
        </w:tc>
      </w:tr>
    </w:tbl>
    <w:p>
      <w:pPr>
        <w:spacing w:line="20" w:lineRule="exact" w:after="120"/>
      </w:pPr>
      <w:r>
        <w:rPr>
          <w:sz w:val="2"/>
        </w:rPr>
      </w:r>
    </w:p>
    <w:p>
      <w:r>
        <w:t>以上为题面评分［S3］，不是本方案预期得分。初赛没有单独的整体架构创新分。决赛跨源融合10分：至少3种跨源问题6分、5种以上8分、复杂多跳10分；高级任务中的实用创新与转化价值额外0至10分，需要实现和证据支撑。</w:t>
      </w:r>
    </w:p>
    <w:p>
      <w:pPr>
        <w:pStyle w:val="Heading2"/>
      </w:pPr>
      <w:r>
        <w:t>材料汇报顺序</w:t>
      </w:r>
    </w:p>
    <w:p>
      <w:r>
        <w:t>一个业务问题、现有方法的失败、拟改机制、架构如何执行、同条件对照、能力边界。45/55分数组成保留作内部备赛分析，不占用导师汇报主线。</w:t>
      </w:r>
    </w:p>
    <w:p>
      <w:pPr>
        <w:pStyle w:val="Heading1"/>
        <w:pageBreakBefore/>
      </w:pPr>
      <w:r>
        <w:t>七 团队确认与来源</w:t>
      </w:r>
    </w:p>
    <w:p>
      <w:pPr>
        <w:pStyle w:val="Heading2"/>
      </w:pPr>
      <w:r>
        <w:t>本次需要团队确认的事项</w:t>
      </w:r>
    </w:p>
    <w:p>
      <w:r>
        <w:t>1 是否采用带证据依赖的跨源任务规划与验证作为整体设计主线。</w:t>
      </w:r>
    </w:p>
    <w:p>
      <w:r>
        <w:t>2 首个贯穿场景选择维保工单与合同，还是既有业务库配套文档；确认数据授权和对应关系。</w:t>
      </w:r>
    </w:p>
    <w:p>
      <w:r>
        <w:t>3 首轮代码改造是否仅限编排层内部模型与现有工具适配；公共契约如需修改，先提出具体字段差异并三人同步。</w:t>
      </w:r>
    </w:p>
    <w:p>
      <w:r>
        <w:t>4 初期验证规则覆盖对象、时间、单位、桥接实体来源与引用定位；复杂语义支持由谁复核，采用什么判据。</w:t>
      </w:r>
    </w:p>
    <w:p>
      <w:r>
        <w:t>5 KAG作为候选补充路线；确定试验条件后再讨论选择性接入，不把历史优势转写成默认调用承诺。</w:t>
      </w:r>
    </w:p>
    <w:p>
      <w:r>
        <w:t>6 各阶段工作量与负责人由团队按既有任务书确认；若任务书需要改动，三份同时升版。</w:t>
      </w:r>
    </w:p>
    <w:p>
      <w:pPr>
        <w:pStyle w:val="Heading2"/>
      </w:pPr>
      <w:r>
        <w:t>当前状态的标记方式</w:t>
      </w:r>
    </w:p>
    <w:p>
      <w:r>
        <w:t>每项能力至少区分已验证、已实现待验证、设计建议、未实现。引用测试通过时说明测试范围；不得把模拟工具、标准答案回放或截图演示标成真实端到端能力。原思路稿是讨论材料，不直接修改既定决策。</w:t>
      </w:r>
    </w:p>
    <w:p>
      <w:pPr>
        <w:pStyle w:val="Heading2"/>
      </w:pPr>
      <w:r>
        <w:t>依据及核对入口</w:t>
      </w:r>
    </w:p>
    <w:p>
      <w:r>
        <w:t>［S1］架构叙事改进思路 v0.1。2026-09-27讨论稿，作为本次修订起点。</w:t>
      </w:r>
      <w:r>
        <w:rPr>
          <w:sz w:val="18"/>
        </w:rPr>
        <w:br/>
        <w:t>docs/架构叙事改进思路_v0.1.md</w:t>
      </w:r>
    </w:p>
    <w:p>
      <w:r>
        <w:t>［S2］KAG是否适合作为项目补充的实验报告。2026-09-25，阶段三与四数字、配置差异及接入边界。</w:t>
      </w:r>
      <w:r>
        <w:rPr>
          <w:sz w:val="18"/>
        </w:rPr>
        <w:br/>
        <w:t>D:/kag/stage4_unseen/reports/KAG接入评估实验报告.md</w:t>
      </w:r>
    </w:p>
    <w:p>
      <w:r>
        <w:t>［S3］赛题八题面原文。中级任务及初赛、决赛评分；来自原PDF的分页文本。</w:t>
      </w:r>
      <w:r>
        <w:rPr>
          <w:sz w:val="18"/>
        </w:rPr>
        <w:br/>
        <w:t>docs/reference/赛题八_题面原文.txt</w:t>
      </w:r>
    </w:p>
    <w:p>
      <w:r>
        <w:t>［S4］现有契约与编排代码。核对工具结果、实体传递、引用保留与模拟后端现状。</w:t>
      </w:r>
      <w:r>
        <w:rPr>
          <w:sz w:val="18"/>
        </w:rPr>
        <w:br/>
        <w:t>app/contracts.py；app/orchestrator.py；app/rag/multihop.py</w:t>
      </w:r>
    </w:p>
    <w:p>
      <w:r>
        <w:t>［S5］现有设计与验证基线。保留既定约束；区分判分器自证与系统实际能力。</w:t>
      </w:r>
      <w:r>
        <w:rPr>
          <w:sz w:val="18"/>
        </w:rPr>
        <w:br/>
        <w:t>docs/设计决策记录_v0.1.md；eval/reports/BASELINE_v1.1.0_postgres.md</w:t>
      </w:r>
    </w:p>
    <w:p>
      <w:r>
        <w:t>本文件仅新增架构建议，不修改现有源代码、默认后端或三份工作任务书。配套《架构修改执行方案 Luna v0.1》列出可执行的材料工作、条件化代码阶段和验收要求。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>
      <w:r>
        <w:t>1</w:t>
      </w:r>
    </w:fldSimple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i w:val="0"/>
      <w:color w:val="000000"/>
      <w:sz w:val="22"/>
      <w:rFonts w:ascii="Calibri" w:hAnsi="Calibri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83" w:lineRule="auto"/>
      <w:outlineLvl w:val="0"/>
    </w:pPr>
    <w:rPr>
      <w:b/>
      <w:bCs/>
      <w:i w:val="0"/>
      <w:color w:val="000000"/>
      <w:sz w:val="32"/>
      <w:szCs w:val="28"/>
      <w:rFonts w:ascii="Calibri" w:hAnsi="Calibri" w:eastAsia="微软雅黑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b/>
      <w:bCs/>
      <w:i w:val="0"/>
      <w:color w:val="000000"/>
      <w:sz w:val="24"/>
      <w:szCs w:val="26"/>
      <w:rFonts w:ascii="Calibri" w:hAnsi="Calibri" w:eastAsia="微软雅黑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i w:val="0"/>
      <w:color w:val="000000"/>
      <w:spacing w:val="5"/>
      <w:kern w:val="28"/>
      <w:sz w:val="44"/>
      <w:szCs w:val="52"/>
      <w:rFonts w:ascii="Calibri" w:hAnsi="Calibri" w:eastAsia="微软雅黑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3" w:lineRule="auto"/>
    </w:pPr>
    <w:rPr>
      <w:i w:val="0"/>
      <w:iCs/>
      <w:color w:val="000000"/>
      <w:spacing w:val="15"/>
      <w:sz w:val="22"/>
      <w:szCs w:val="24"/>
      <w:rFonts w:ascii="Calibri" w:hAnsi="Calibri" w:eastAsia="微软雅黑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问数问答智能体架构修改建议</dc:title>
  <dc:subject>任务规划与证据验证机制的团队讨论方案</dc:subject>
  <dc:creator>项目团队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