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项目收口任务与冲刺计划</w:t>
      </w:r>
    </w:p>
    <w:p>
      <w:pPr>
        <w:snapToGrid w:val="0"/>
      </w:pPr>
      <w:r>
        <w:rPr>
          <w:sz w:val="20"/>
        </w:rPr>
        <w:t>组员执行版 v0.2  |  2026年10月10日  |  初赛10月20日截止</w:t>
      </w:r>
    </w:p>
    <w:p>
      <w:pPr>
        <w:snapToGrid w:val="0"/>
      </w:pPr>
      <w:r>
        <w:rPr>
          <w:b/>
        </w:rPr>
        <w:t>核心判断：</w:t>
      </w:r>
      <w:r>
        <w:t>项目不是从头开发，而是进入验收和交付冲刺。主问答链路已有运行证据，但“功能基本做出来”还不等于“比赛作品已经交付完成”。接下来必须把测试、报告、版本和演示收在同一条线上。</w:t>
      </w:r>
    </w:p>
    <w:p>
      <w:pPr>
        <w:snapToGrid w:val="0"/>
      </w:pPr>
      <w:r>
        <w:t>导师版按已实现功能粗估开发完成度约90%，不包含正式验收和材料完成度。团队不再用一个百分比判断剩余工作，而是以本文件的六个工作包逐项销项。</w:t>
      </w:r>
    </w:p>
    <w:p>
      <w:pPr>
        <w:pStyle w:val="Heading2"/>
        <w:snapToGrid w:val="0"/>
      </w:pPr>
      <w:r>
        <w:t>时间压力与交付目标</w:t>
      </w:r>
    </w:p>
    <w:p>
      <w:pPr>
        <w:snapToGrid w:val="0"/>
      </w:pPr>
      <w:r>
        <w:t>负责人已纠正：初赛提交截止为10月20日，从今天起只剩10天。原v0.1的截止与后续排期作废，以本版执行；具体截止时刻、提交通道和报名状态由A今天核实，不默认截止为24:00。</w:t>
      </w:r>
    </w:p>
    <w:p>
      <w:pPr>
        <w:snapToGrid w:val="0"/>
      </w:pPr>
      <w:r>
        <w:rPr>
          <w:b/>
        </w:rPr>
        <w:t>10月13日前</w:t>
      </w:r>
      <w:r>
        <w:t>交两份报告初稿；15日前收口核心测试；16日锁定交付候选；18日前完成报告定稿、打包和异机演练；19日提交并核对回执，20日只处理应急。测试、供稿和打包并行，不能再按截止后仍可补交安排工作。</w:t>
      </w:r>
    </w:p>
    <w:p>
      <w:pPr>
        <w:pStyle w:val="Heading2"/>
        <w:snapToGrid w:val="0"/>
      </w:pPr>
      <w:r>
        <w:t>我们现在已有的成果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5" w:type="dxa"/>
          <w:right w:w="105" w:type="dxa"/>
        </w:tblCellMar>
      </w:tblPr>
      <w:tblGrid>
        <w:gridCol w:w="1512"/>
        <w:gridCol w:w="4176"/>
        <w:gridCol w:w="4363"/>
      </w:tblGrid>
      <w:tr>
        <w:trPr>
          <w:cantSplit/>
          <w:tblHeader/>
        </w:trPr>
        <w:tc>
          <w:tcPr>
            <w:tcW w:type="dxa" w:w="1512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20"/>
              </w:rPr>
              <w:t>范围</w:t>
            </w:r>
          </w:p>
        </w:tc>
        <w:tc>
          <w:tcPr>
            <w:tcW w:type="dxa" w:w="4176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20"/>
              </w:rPr>
              <w:t>已完成的主要工作</w:t>
            </w:r>
          </w:p>
        </w:tc>
        <w:tc>
          <w:tcPr>
            <w:tcW w:type="dxa" w:w="4363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20"/>
              </w:rPr>
              <w:t>离交付还差什么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问数与问答主线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自然语言查数、文档问答、来源展示、多轮澄清、分页导出已形成链路。</w:t>
            </w:r>
          </w:p>
        </w:tc>
        <w:tc>
          <w:tcPr>
            <w:tcW w:type="dxa" w:w="4363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同一交付版本的完整测试、浏览器实际操作和异机复现。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中级任务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3、4、5已有20题开发回归；1、7已有基础实现。</w:t>
            </w:r>
          </w:p>
        </w:tc>
        <w:tc>
          <w:tcPr>
            <w:tcW w:type="dxa" w:w="4363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1、7专项证据优先补齐；五项统一复验，不能仅凭代码存在认定攻克。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跨源架构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CS18新流程严格通过62/64，参考7/64；结果已解盲并外部复算。</w:t>
            </w:r>
          </w:p>
        </w:tc>
        <w:tc>
          <w:tcPr>
            <w:tcW w:type="dxa" w:w="4363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闭合控制流与协议问题；冻结修订版本后再做独立复验。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文档与交付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导师进展汇报、设计思路、实验和测试材料已积累。</w:t>
            </w:r>
          </w:p>
        </w:tc>
        <w:tc>
          <w:tcPr>
            <w:tcW w:type="dxa" w:w="4363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比赛正式报告、完整源码包、启动验证及演示材料尚须形成提交版。</w:t>
            </w:r>
          </w:p>
        </w:tc>
      </w:tr>
    </w:tbl>
    <w:p>
      <w:pPr>
        <w:spacing w:after="0"/>
      </w:pPr>
    </w:p>
    <w:p>
      <w:pPr>
        <w:snapToGrid w:val="0"/>
      </w:pPr>
      <w:r>
        <w:rPr>
          <w:b/>
        </w:rPr>
        <w:t>优先级：</w:t>
      </w:r>
      <w:r>
        <w:t>先保必选评分项和交付。跨源扩大复验若15日前无法完成，写为后续工作，不拖延提交；KAG不接入本轮初赛默认后端，不挤占主线人力和服务资源。</w:t>
      </w:r>
    </w:p>
    <w:p>
      <w:pPr>
        <w:pStyle w:val="Heading1"/>
        <w:pageBreakBefore/>
        <w:snapToGrid w:val="0"/>
      </w:pPr>
      <w:r>
        <w:t>一、功能状态与验收缺口</w:t>
      </w:r>
    </w:p>
    <w:p>
      <w:pPr>
        <w:snapToGrid w:val="0"/>
      </w:pPr>
      <w:r>
        <w:t>“基本完成”表示已有实现或开发运行证据；“验收完成”还须对照题面、在固定版本上实际检查并保存记录。下表不把已曝光样例当作未见题成绩。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5" w:type="dxa"/>
          <w:right w:w="105" w:type="dxa"/>
        </w:tblCellMar>
      </w:tblPr>
      <w:tblGrid>
        <w:gridCol w:w="1627"/>
        <w:gridCol w:w="3902"/>
        <w:gridCol w:w="4522"/>
      </w:tblGrid>
      <w:tr>
        <w:trPr>
          <w:cantSplit/>
          <w:tblHeader/>
        </w:trPr>
        <w:tc>
          <w:tcPr>
            <w:tcW w:type="dxa" w:w="1627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20"/>
              </w:rPr>
              <w:t>任务 / 负责人</w:t>
            </w:r>
          </w:p>
        </w:tc>
        <w:tc>
          <w:tcPr>
            <w:tcW w:type="dxa" w:w="3902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20"/>
              </w:rPr>
              <w:t>当前状态与依据</w:t>
            </w:r>
          </w:p>
        </w:tc>
        <w:tc>
          <w:tcPr>
            <w:tcW w:type="dxa" w:w="4522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20"/>
              </w:rPr>
              <w:t>本轮必须补齐的检查</w:t>
            </w:r>
          </w:p>
        </w:tc>
      </w:tr>
      <w:tr>
        <w:trPr>
          <w:cantSplit/>
        </w:trPr>
        <w:tc>
          <w:tcPr>
            <w:tcW w:type="dxa" w:w="1627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任务1 · A</w:t>
            </w:r>
          </w:p>
        </w:tc>
        <w:tc>
          <w:tcPr>
            <w:tcW w:type="dxa" w:w="3902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基础要素识别与问题改写已实现，仍在完善。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未见别名、错别字、时间表达及不同实体类型；改写不得改变原意；避免只测固定词典。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任务3 · B，A集成</w:t>
            </w:r>
          </w:p>
        </w:tc>
        <w:tc>
          <w:tcPr>
            <w:tcW w:type="dxa" w:w="3902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基本完成；20/20多轮场景通过，真实SQL重放22/22一致。[S1]</w:t>
            </w:r>
          </w:p>
        </w:tc>
        <w:tc>
          <w:tcPr>
            <w:tcW w:type="dxa" w:w="4522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同版复验补充、改问、取消、会话隔离；明确单进程内存状态与重启边界。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任务4 · A</w:t>
            </w:r>
          </w:p>
        </w:tc>
        <w:tc>
          <w:tcPr>
            <w:tcW w:type="dxa" w:w="3902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基本完成；71张基表环境下20/20严格结果匹配。[S1]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相近表字段、连接中间表、未见业务表达；分页、导出与安全上限均不退步。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任务5 · A</w:t>
            </w:r>
          </w:p>
        </w:tc>
        <w:tc>
          <w:tcPr>
            <w:tcW w:type="dxa" w:w="3902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基本完成；20/20开发题严格匹配。[S1]</w:t>
            </w:r>
          </w:p>
        </w:tc>
        <w:tc>
          <w:tcPr>
            <w:tcW w:type="dxa" w:w="4522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多表关联、聚合、嵌套与重复计数陷阱；材料可判时不得靠拒答通过。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任务7 · B</w:t>
            </w:r>
          </w:p>
        </w:tc>
        <w:tc>
          <w:tcPr>
            <w:tcW w:type="dxa" w:w="3902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目录识别与层级切片基础链路已实现。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混乱目录、扫描件、多级章节及引用定位；不能用多跳问答成绩代替目录质量验收。</w:t>
            </w:r>
          </w:p>
        </w:tc>
      </w:tr>
    </w:tbl>
    <w:p>
      <w:pPr>
        <w:spacing w:after="0"/>
      </w:pPr>
    </w:p>
    <w:p>
      <w:pPr>
        <w:snapToGrid w:val="0"/>
      </w:pPr>
      <w:r>
        <w:rPr>
          <w:b/>
        </w:rPr>
        <w:t>U19已解决：</w:t>
      </w:r>
      <w:r>
        <w:t>10月7日有效回归取回2,480行，25页与CSV导出均一致。10月10日旧交接单仍保留19/20和1,000行描述，执行时以有效运行记录[S1]为准，另行更新交接口径，不覆盖历史报告。</w:t>
      </w:r>
    </w:p>
    <w:p>
      <w:pPr>
        <w:pStyle w:val="Heading2"/>
        <w:snapToGrid w:val="0"/>
      </w:pPr>
      <w:r>
        <w:t>整条主线还要补测，而不是再加模块</w:t>
      </w:r>
    </w:p>
    <w:p>
      <w:pPr>
        <w:snapToGrid w:val="0"/>
      </w:pPr>
      <w:r>
        <w:t>A、B、C共同检查：真实API到前端的查数/文档问答、引用与实际工具记录一致、缺信息澄清、跨会话隔离、超时和重试、数据库只读、大结果分页导出，以及依赖不可用时的降级。前端构建通过不等于用户能完整操作。</w:t>
      </w:r>
    </w:p>
    <w:p>
      <w:pPr>
        <w:snapToGrid w:val="0"/>
      </w:pPr>
      <w:r>
        <w:t>RAG质量与多规模效率已有历史记录；当前候选仍须复核回答是否写全必答事实、引用是否支持结论。三份14/126/509页规模PDF及生成器现已存在，字节哈希与旧实测报告相同，可复用；不能把规模扩写语料当作质量测试集。[S3、S5]</w:t>
      </w:r>
    </w:p>
    <w:p>
      <w:pPr>
        <w:snapToGrid w:val="0"/>
      </w:pPr>
      <w:r>
        <w:t>评分落点：基础功能30分、性能25分、优化30分、文档10分、演示5分都要覆盖。中级任务每项5分，初赛上限15分；按原组合优先补齐1、4、7，保留3、5成果。最终“攻克”认定由赛事评审决定。[S6]</w:t>
      </w:r>
    </w:p>
    <w:p>
      <w:pPr>
        <w:pStyle w:val="Heading1"/>
        <w:pageBreakBefore/>
        <w:snapToGrid w:val="0"/>
      </w:pPr>
      <w:r>
        <w:t>二、剩余六个工作包与完成标准</w:t>
      </w:r>
    </w:p>
    <w:p>
      <w:pPr>
        <w:snapToGrid w:val="0"/>
      </w:pPr>
      <w:r>
        <w:t>以下是本轮收口清单。责任沿用A/B/C v1.4任务书，旧日期不再执行；A负责集成，B负责文档链路和前端，C负责数据、评测与统稿。截止20日为负责人确认值，其余日期为内部冲刺目标。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5" w:type="dxa"/>
          <w:right w:w="105" w:type="dxa"/>
        </w:tblCellMar>
      </w:tblPr>
      <w:tblGrid>
        <w:gridCol w:w="2160"/>
        <w:gridCol w:w="1541"/>
        <w:gridCol w:w="6350"/>
      </w:tblGrid>
      <w:tr>
        <w:trPr>
          <w:cantSplit/>
          <w:tblHeader/>
        </w:trPr>
        <w:tc>
          <w:tcPr>
            <w:tcW w:type="dxa" w:w="2160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19"/>
              </w:rPr>
              <w:t>工作包 / 截止</w:t>
            </w:r>
          </w:p>
        </w:tc>
        <w:tc>
          <w:tcPr>
            <w:tcW w:type="dxa" w:w="1541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19"/>
              </w:rPr>
              <w:t>负责人</w:t>
            </w:r>
          </w:p>
        </w:tc>
        <w:tc>
          <w:tcPr>
            <w:tcW w:type="dxa" w:w="6350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19"/>
              </w:rPr>
              <w:t>必须交付与完成标准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P0-1 正式报告</w:t>
              <w:br/>
              <w:t>10月13日初稿</w:t>
            </w:r>
          </w:p>
        </w:tc>
        <w:tc>
          <w:tcPr>
            <w:tcW w:type="dxa" w:w="1541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A/B供稿</w:t>
              <w:br/>
              <w:t>C统稿，A审核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设计报告Word+PDF≤20页，前1—2页为核心亮点预览；技术实现说明书Word+PDF≤30页。功能、架构、任务、测试与限制都有正文，不用导师进展汇报替代。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P0-2 候选版本</w:t>
              <w:br/>
              <w:t>10月12日登记</w:t>
              <w:br/>
              <w:t>16日锁定</w:t>
            </w:r>
          </w:p>
        </w:tc>
        <w:tc>
          <w:tcPr>
            <w:tcW w:type="dxa" w:w="1541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A牵头</w:t>
              <w:br/>
              <w:t>全员确认</w:t>
            </w:r>
          </w:p>
        </w:tc>
        <w:tc>
          <w:tcPr>
            <w:tcW w:type="dxa" w:w="6350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保留现有改动，评审后纳入明确候选。记录源码、依赖、配置与数据身份；测试和报告绑定同一版本。不只拿提交号代替未提交源码，也不擅改公共契约。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P1-3 主线验收</w:t>
              <w:br/>
              <w:t>10月15日前</w:t>
            </w:r>
          </w:p>
        </w:tc>
        <w:tc>
          <w:tcPr>
            <w:tcW w:type="dxa" w:w="1541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A/B执行</w:t>
              <w:br/>
              <w:t>C组织与复核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任务1、7专项优先；五项及基础问答统一复验。提交原始输出、分任务结果、错误/跳过清单及前端操作记录；开发回归与新题分别报告。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P1-4 效率与鲁棒性</w:t>
              <w:br/>
              <w:t>10月15日前</w:t>
            </w:r>
          </w:p>
        </w:tc>
        <w:tc>
          <w:tcPr>
            <w:tcW w:type="dxa" w:w="1541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A分析</w:t>
              <w:br/>
              <w:t>B检查前端</w:t>
              <w:br/>
              <w:t>C供数汇总</w:t>
            </w:r>
          </w:p>
        </w:tc>
        <w:tc>
          <w:tcPr>
            <w:tcW w:type="dxa" w:w="6350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核对结构化两规模证据，复用文档规模实测；补超时、错误、会话和安全边界。耗时绑定机器与版本，失败计入分母。历史冻结检查异常单列，不能直接删除或改锚点。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P1-5 跨源整改</w:t>
              <w:br/>
              <w:t>10月11日定规则</w:t>
              <w:br/>
              <w:t>14日定向结果</w:t>
            </w:r>
          </w:p>
        </w:tc>
        <w:tc>
          <w:tcPr>
            <w:tcW w:type="dxa" w:w="1541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A负责架构</w:t>
              <w:br/>
              <w:t>C协助数据评测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候选已加入多合同歧义早停及专项测试，须验证实际链路。事前明确协议优先级、独立随机化评审顺序；先定向回归。扩大新题复验若15日前不能完成，列为后续，不阻塞初赛交付。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P0-6 打包与演示</w:t>
              <w:br/>
              <w:t>10月18日前</w:t>
              <w:br/>
              <w:t>19日提交</w:t>
            </w:r>
          </w:p>
        </w:tc>
        <w:tc>
          <w:tcPr>
            <w:tcW w:type="dxa" w:w="1541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C打包录制</w:t>
              <w:br/>
              <w:t>B前端，A集成</w:t>
            </w:r>
          </w:p>
        </w:tc>
        <w:tc>
          <w:tcPr>
            <w:tcW w:type="dxa" w:w="6350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形成源码ZIP、依赖版本、数据/文档样本、启动说明与演示材料。在另一台机器从交付包启动并走完脚本；日志无凭据，样本来源与授权清楚。登记包大小和提交通道限制。</w:t>
            </w:r>
          </w:p>
        </w:tc>
      </w:tr>
    </w:tbl>
    <w:p>
      <w:pPr>
        <w:spacing w:after="0"/>
      </w:pPr>
    </w:p>
    <w:p>
      <w:pPr>
        <w:pStyle w:val="Heading2"/>
        <w:snapToGrid w:val="0"/>
      </w:pPr>
      <w:r>
        <w:t>哪些工作不再插进本轮关键路径</w:t>
      </w:r>
    </w:p>
    <w:p>
      <w:pPr>
        <w:snapToGrid w:val="0"/>
      </w:pPr>
      <w:r>
        <w:t>不临时扩大中级任务组合，不为追求技术数量切换框架、模型或默认检索后端；KAG接入依据独立复验和成本再决定。比赛报告先写可证实的已完成内容，未知结果留为待完成项，不能等所有实验结束才起稿。</w:t>
      </w:r>
    </w:p>
    <w:p>
      <w:pPr>
        <w:snapToGrid w:val="0"/>
      </w:pPr>
      <w:r>
        <w:rPr>
          <w:b/>
        </w:rPr>
        <w:t>初赛交付完成的标准：</w:t>
      </w:r>
      <w:r>
        <w:t>固定候选 + 主线验收记录 + 两份正式报告 + 可复现交付包与演示。四项缺一，不称“全部完工”。</w:t>
      </w:r>
    </w:p>
    <w:p>
      <w:pPr>
        <w:pStyle w:val="Heading1"/>
        <w:pageBreakBefore/>
        <w:snapToGrid w:val="0"/>
      </w:pPr>
      <w:r>
        <w:t>三、倒计时排程与高效率测试</w:t>
      </w:r>
    </w:p>
    <w:p>
      <w:pPr>
        <w:snapToGrid w:val="0"/>
      </w:pPr>
      <w:r>
        <w:t>这是一套并行冲刺安排，不是让所有人串行等待。A/B按现有职责交出章节和测试证据，C同步统稿、维护清单、整理交付包。导师审阅与后续补测并行。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5" w:type="dxa"/>
          <w:right w:w="105" w:type="dxa"/>
        </w:tblCellMar>
      </w:tblPr>
      <w:tblGrid>
        <w:gridCol w:w="1541"/>
        <w:gridCol w:w="4896"/>
        <w:gridCol w:w="3614"/>
      </w:tblGrid>
      <w:tr>
        <w:trPr>
          <w:cantSplit/>
          <w:tblHeader/>
        </w:trPr>
        <w:tc>
          <w:tcPr>
            <w:tcW w:type="dxa" w:w="1541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896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19"/>
              </w:rPr>
              <w:t>当天必须推进的事</w:t>
            </w:r>
          </w:p>
        </w:tc>
        <w:tc>
          <w:tcPr>
            <w:tcW w:type="dxa" w:w="3614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19"/>
              </w:rPr>
              <w:t>退出条件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10月10日</w:t>
              <w:br/>
              <w:t>今天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确认20日截止；A核对具体时刻、报名与提交要求；认领工作包，C建报告目录。</w:t>
            </w:r>
          </w:p>
        </w:tc>
        <w:tc>
          <w:tcPr>
            <w:tcW w:type="dxa" w:w="3614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旧排期不再执行；负责人、时间、交付物明确。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10月11—12日</w:t>
            </w:r>
          </w:p>
        </w:tc>
        <w:tc>
          <w:tcPr>
            <w:tcW w:type="dxa" w:w="4896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A/B提交可用技术章节；C补题面与证据索引。登记候选，优先跑任务1/7与短链路。</w:t>
            </w:r>
          </w:p>
        </w:tc>
        <w:tc>
          <w:tcPr>
            <w:tcW w:type="dxa" w:w="3614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不是只交提纲；关键失败有最小复现与修复责任人。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10月13日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C合成两份正式初稿，A核对成果、评分口径和限制后交导师。</w:t>
            </w:r>
          </w:p>
        </w:tc>
        <w:tc>
          <w:tcPr>
            <w:tcW w:type="dxa" w:w="3614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Word/PDF可完整阅读；缺项注明责任与补齐日，不编造测试结论。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10月14—15日</w:t>
            </w:r>
          </w:p>
        </w:tc>
        <w:tc>
          <w:tcPr>
            <w:tcW w:type="dxa" w:w="4896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主线、效率和鲁棒性收口；跨源定向复验；同步回应导师意见。</w:t>
            </w:r>
          </w:p>
        </w:tc>
        <w:tc>
          <w:tcPr>
            <w:tcW w:type="dxa" w:w="3614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关键失败闭合；扩大实验来不及就列后续，不占打包时间。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10月16日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锁定交付候选；此后仅修阻断提交的问题，每次修复重新核验。</w:t>
            </w:r>
          </w:p>
        </w:tc>
        <w:tc>
          <w:tcPr>
            <w:tcW w:type="dxa" w:w="3614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源码、数据、配置与报告一致，停加新功能。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10月17—18日</w:t>
            </w:r>
          </w:p>
        </w:tc>
        <w:tc>
          <w:tcPr>
            <w:tcW w:type="dxa" w:w="4896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报告定稿、PDF、完整交付包、异机启动和演示演练；核对所需附件。</w:t>
            </w:r>
          </w:p>
        </w:tc>
        <w:tc>
          <w:tcPr>
            <w:tcW w:type="dxa" w:w="3614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从包启动成功，演示不靠模拟回放；提交材料齐备。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10月19日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提交并核对回执，确认附件可打开、版本正确。</w:t>
            </w:r>
          </w:p>
        </w:tc>
        <w:tc>
          <w:tcPr>
            <w:tcW w:type="dxa" w:w="3614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提交已完成并有确认记录，不等最后一天。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10月20日</w:t>
            </w:r>
          </w:p>
        </w:tc>
        <w:tc>
          <w:tcPr>
            <w:tcW w:type="dxa" w:w="4896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只处理补件或应急，严格按实际截止时刻结束。</w:t>
            </w:r>
          </w:p>
        </w:tc>
        <w:tc>
          <w:tcPr>
            <w:tcW w:type="dxa" w:w="3614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不是开发、长实验或首次打包日。</w:t>
            </w:r>
          </w:p>
        </w:tc>
      </w:tr>
    </w:tbl>
    <w:p>
      <w:pPr>
        <w:spacing w:after="0"/>
      </w:pPr>
    </w:p>
    <w:p>
      <w:pPr>
        <w:pStyle w:val="Heading2"/>
        <w:snapToGrid w:val="0"/>
      </w:pPr>
      <w:r>
        <w:t>测试分层，别每修一次就重做整套盲审</w:t>
      </w:r>
    </w:p>
    <w:p>
      <w:pPr>
        <w:snapToGrid w:val="0"/>
      </w:pPr>
      <w:r>
        <w:t>第一层：每次改动只跑相关确定性检查和少量真实入口样例；关键安全、引用、澄清失败先修，不带病开长实验。</w:t>
      </w:r>
    </w:p>
    <w:p>
      <w:pPr>
        <w:snapToGrid w:val="0"/>
      </w:pPr>
      <w:r>
        <w:t>第二层：合并后集中跑一次主线回归，保存原始回答；SQL结果、引用定位、日志完整性尽量自动核验，人工重点看答案含义、证据支持和失败原因。</w:t>
      </w:r>
    </w:p>
    <w:p>
      <w:pPr>
        <w:snapToGrid w:val="0"/>
      </w:pPr>
      <w:r>
        <w:t>第三层：稳定候选才做冻结新题评测；标准答案不进入生成环节，回答先封存后评分。正式对照按预先确认的协议走，不事后调整门槛；AI辅助评审不能冒充人类评审。</w:t>
      </w:r>
    </w:p>
    <w:p>
      <w:pPr>
        <w:snapToGrid w:val="0"/>
      </w:pPr>
      <w:r>
        <w:t>首轮范围：基础SQL、单文档问答各至少10题（题面底线）；任务3/4/5复用各20题回归，任务1/7各先列20个覆盖场景（内部建议）。C按覆盖缺口补独立新题，正式运行前登记题量，不把重复测试当新题。</w:t>
      </w:r>
    </w:p>
    <w:p>
      <w:pPr>
        <w:snapToGrid w:val="0"/>
      </w:pPr>
      <w:r>
        <w:t>C统一维护运行台账与失败清单；共用服务和数据库变更先同步。复用已有驱动、样本和哈希记录，避免反复整理同一批材料。新题不必追求一个“公认题量”，先满足题面最低用例与关键覆盖，再按资源扩展。</w:t>
      </w:r>
    </w:p>
    <w:p>
      <w:pPr>
        <w:pStyle w:val="Heading1"/>
        <w:pageBreakBefore/>
        <w:snapToGrid w:val="0"/>
      </w:pPr>
      <w:r>
        <w:t>四、交接方式、成果边界与依据</w:t>
      </w:r>
    </w:p>
    <w:p>
      <w:pPr>
        <w:pStyle w:val="Heading2"/>
        <w:snapToGrid w:val="0"/>
      </w:pPr>
      <w:r>
        <w:t>每人下一步交什么</w:t>
      </w:r>
    </w:p>
    <w:p>
      <w:pPr>
        <w:snapToGrid w:val="0"/>
      </w:pPr>
      <w:r>
        <w:rPr>
          <w:b/>
        </w:rPr>
        <w:t>A：</w:t>
      </w:r>
      <w:r>
        <w:t>技术说明书结构化链路与整体编排章节、任务1/4/5结果、跨源整改规则、固定候选与集成状态；KAG继续作为储备支线，不挤占主线。</w:t>
      </w:r>
    </w:p>
    <w:p>
      <w:pPr>
        <w:snapToGrid w:val="0"/>
      </w:pPr>
      <w:r>
        <w:rPr>
          <w:b/>
        </w:rPr>
        <w:t>B：</w:t>
      </w:r>
      <w:r>
        <w:t>文档检索与任务7章节/证据、任务3和前端完整操作记录、引用定位与失败展示；优先解决已找齐证据但回答未写全的问题，而不是默认增加检索。</w:t>
      </w:r>
    </w:p>
    <w:p>
      <w:pPr>
        <w:snapToGrid w:val="0"/>
      </w:pPr>
      <w:r>
        <w:rPr>
          <w:b/>
        </w:rPr>
        <w:t>C：</w:t>
      </w:r>
      <w:r>
        <w:t>两份正式报告统稿、题面覆盖表、测试台账、数据来源与清单、效率证据归档、启动与打包说明、视频和交付检查。C组织复核，不替A/B默改算法或接口。</w:t>
      </w:r>
    </w:p>
    <w:p>
      <w:pPr>
        <w:snapToGrid w:val="0"/>
      </w:pPr>
      <w:r>
        <w:t>每日只同步四件事：昨天交了什么、今天交什么、是否卡住别人、需谁决策。每项交接附文件地址、版本、完成标准与尚存问题；关键阻断当天处理。不能只发“差不多了”。</w:t>
      </w:r>
    </w:p>
    <w:p>
      <w:pPr>
        <w:pStyle w:val="Heading2"/>
        <w:snapToGrid w:val="0"/>
      </w:pPr>
      <w:r>
        <w:t>跨源成果怎么用，下一轮怎么做</w:t>
      </w:r>
    </w:p>
    <w:p>
      <w:pPr>
        <w:snapToGrid w:val="0"/>
      </w:pPr>
      <w:r>
        <w:t>整体设计是“识别事实及依赖 → 按需选择数据库/文档 → 核对对象与口径 → 结论关联证据 → 补查、澄清或停止”，不是只做工单合同查询。CS18只是其中一种业务验证：64道合成新题上62/64对7/64，支持本批可靠性改善；不能代表真实业务或全部复合题已验收。[S2]</w:t>
      </w:r>
    </w:p>
    <w:p>
      <w:pPr>
        <w:snapToGrid w:val="0"/>
      </w:pPr>
      <w:r>
        <w:t>下一轮在修订候选冻结后引入全新题与有明确来源的公开业务材料，区分原文事实和整理生成的记录。先锁定判据与随机化安排，再运行和评审；不回改CS18旧评分和封存。若15日前无法完成该轮，则作为提交后工作，不挤占报告与打包。</w:t>
      </w:r>
    </w:p>
    <w:p>
      <w:pPr>
        <w:pStyle w:val="Heading2"/>
        <w:snapToGrid w:val="0"/>
      </w:pPr>
      <w:r>
        <w:t>核对依据与使用顺序</w:t>
      </w:r>
    </w:p>
    <w:p>
      <w:pPr>
        <w:snapToGrid w:val="0"/>
      </w:pPr>
      <w:r>
        <w:rPr>
          <w:sz w:val="18"/>
        </w:rPr>
        <w:t>项目根目录：C:\Users\86133\WorkBuddy\多模态数据驱动的可解释精准问数问答智能体。下列路径均相对该根目录；导师版与任务书用于对齐规划，实测结果以对应运行记录为准。</w:t>
      </w:r>
    </w:p>
    <w:p>
      <w:pPr>
        <w:snapToGrid w:val="0"/>
        <w:spacing w:after="80" w:line="250" w:lineRule="exact"/>
      </w:pPr>
      <w:r>
        <w:rPr>
          <w:sz w:val="17"/>
        </w:rPr>
        <w:t>[S1] eval/reports/mainline/current-candidate-20261007-summary.md（任务3/4/5与U19有效回归）。</w:t>
      </w:r>
    </w:p>
    <w:p>
      <w:pPr>
        <w:snapToGrid w:val="0"/>
        <w:spacing w:after="80" w:line="250" w:lineRule="exact"/>
      </w:pPr>
      <w:r>
        <w:rPr>
          <w:sz w:val="17"/>
        </w:rPr>
        <w:t>[S2] eval/reports/cross_source/cs18_v06_unblinded_20261010/cs18_v06_unblinded_report_20261010.md（配对结果、程序偏离与限制）。</w:t>
      </w:r>
    </w:p>
    <w:p>
      <w:pPr>
        <w:snapToGrid w:val="0"/>
        <w:spacing w:after="80" w:line="250" w:lineRule="exact"/>
      </w:pPr>
      <w:r>
        <w:rPr>
          <w:sz w:val="17"/>
        </w:rPr>
        <w:t>[S3] docs/RAG规模效率实测_20261003.md；data/corpus/scale/manifest_scale.json（本轮核对三份PDF哈希一致；旧“样本未入库”状态已滞后）。</w:t>
      </w:r>
    </w:p>
    <w:p>
      <w:pPr>
        <w:snapToGrid w:val="0"/>
        <w:spacing w:after="80" w:line="250" w:lineRule="exact"/>
      </w:pPr>
      <w:r>
        <w:rPr>
          <w:sz w:val="17"/>
        </w:rPr>
        <w:t>[S4] docs/architecture/主线补齐测试与验收方案_v0.1.md；主线与中级任务测试交接单_20261010.md（后者U19基线描述需按S1更新）。</w:t>
      </w:r>
    </w:p>
    <w:p>
      <w:pPr>
        <w:snapToGrid w:val="0"/>
        <w:spacing w:after="80" w:line="250" w:lineRule="exact"/>
      </w:pPr>
      <w:r>
        <w:rPr>
          <w:sz w:val="17"/>
        </w:rPr>
        <w:t>[S5] docs/主线RAG忠实度评测交接_20261005.md；主线RAG与按需多步查询验证计划_v1.2_20261006.md（不同版本、题集与判据的历史诊断，不混报分数）。</w:t>
      </w:r>
    </w:p>
    <w:p>
      <w:pPr>
        <w:snapToGrid w:val="0"/>
        <w:spacing w:after="80" w:line="250" w:lineRule="exact"/>
      </w:pPr>
      <w:r>
        <w:rPr>
          <w:sz w:val="17"/>
        </w:rPr>
        <w:t>[S6] 赛题八_题面原文.txt、AGENTS.md；docs/分工文档/A、B、C工作任务_v1.4.docx（评分、提交规范与责任）。</w:t>
      </w:r>
    </w:p>
    <w:p>
      <w:pPr>
        <w:snapToGrid w:val="0"/>
        <w:spacing w:after="80" w:line="250" w:lineRule="exact"/>
      </w:pPr>
      <w:r>
        <w:rPr>
          <w:sz w:val="17"/>
        </w:rPr>
        <w:t>[S7] docs/项目近期进展与实验汇报_20261010.docx（导师版规划与KAG支线提供的结果）。</w:t>
      </w:r>
    </w:p>
    <w:p>
      <w:pPr>
        <w:snapToGrid w:val="0"/>
        <w:spacing w:after="80" w:line="250" w:lineRule="exact"/>
      </w:pPr>
      <w:r>
        <w:rPr>
          <w:sz w:val="17"/>
        </w:rPr>
        <w:t>[S8] docs/初赛截止纠正与当前排期_20261010.md（负责人确认20日截止；本版覆盖v0.1及旧任务书日期，责任不变）。</w:t>
      </w:r>
    </w:p>
    <w:p>
      <w:pPr>
        <w:snapToGrid w:val="0"/>
      </w:pPr>
      <w:r>
        <w:rPr>
          <w:sz w:val="18"/>
        </w:rPr>
        <w:t>本次是文件与记录核对，未重跑模型或系统测试。工作区仍有未提交修改，release目录当前仅有说明与占位文件；因此旧测试通过数不直接代表今日候选，已有数据库镜像准备也不等于完整项目ZIP已交付。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94" w:bottom="922" w:left="1094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 xml:space="preserve">组员执行版 · 2026-10-10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777777"/>
        <w:sz w:val="16"/>
      </w:rPr>
      <w:t>赛题八  /  团队冲刺执行计划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lineRule="exact" w:line="340" w:after="160"/>
    </w:pPr>
    <w:rPr>
      <w:rFonts w:ascii="Microsoft YaHei" w:hAnsi="Microsoft YaHe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Microsoft YaHei" w:hAnsi="Microsoft YaHei" w:eastAsia="Microsoft YaHei"/>
      <w:color w:val="2222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/>
      <w:color w:val="2222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Microsoft YaHei" w:hAnsi="Microsoft YaHei" w:eastAsia="Microsoft YaHei"/>
      <w:color w:val="2222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46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7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222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222222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/>
      <w:color w:val="222222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/>
      <w:color w:val="2222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  <w:rPr>
      <w:rFonts w:ascii="Microsoft YaHei" w:hAnsi="Microsoft YaHei" w:eastAsia="Microsoft YaHei"/>
      <w:color w:val="2222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600" w:lineRule="exact" w:before="0"/>
      <w:contextualSpacing/>
      <w:keepNext/>
      <w:snapToGrid w:val="0"/>
    </w:pPr>
    <w:rPr>
      <w:rFonts w:asciiTheme="majorHAnsi" w:eastAsiaTheme="majorEastAsia" w:hAnsiTheme="majorHAnsi" w:cstheme="majorBidi" w:ascii="Microsoft YaHei" w:hAnsi="Microsoft YaHei" w:eastAsia="Microsoft YaHei"/>
      <w:b w:val="0"/>
      <w:color w:val="2222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/>
      <w:color w:val="222222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  <w:rPr>
      <w:rFonts w:ascii="Microsoft YaHei" w:hAnsi="Microsoft YaHei" w:eastAsia="Microsoft YaHei"/>
      <w:color w:val="2222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/>
      <w:color w:val="2222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  <w:rPr>
      <w:rFonts w:ascii="Microsoft YaHei" w:hAnsi="Microsoft YaHei" w:eastAsia="Microsoft YaHei"/>
      <w:color w:val="2222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/>
      <w:color w:val="2222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rFonts w:ascii="Microsoft YaHei" w:hAnsi="Microsoft YaHei" w:eastAsia="Microsoft YaHei"/>
      <w:color w:val="222222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/>
      <w:color w:val="222222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Microsoft YaHei" w:hAnsi="Microsoft YaHei" w:eastAsia="Microsoft YaHei"/>
      <w:color w:val="222222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/>
      <w:color w:val="222222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rFonts w:ascii="Microsoft YaHei" w:hAnsi="Microsoft YaHei" w:eastAsia="Microsoft YaHei"/>
      <w:i/>
      <w:iCs/>
      <w:color w:val="2222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/>
      <w:i/>
      <w:iCs/>
      <w:color w:val="2222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222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222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22222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rFonts w:ascii="Microsoft YaHei" w:hAnsi="Microsoft YaHei" w:eastAsia="Microsoft YaHei"/>
      <w:b/>
      <w:bCs/>
      <w:color w:val="22222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/>
      <w:b/>
      <w:bCs/>
      <w:color w:val="222222"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/>
      <w:i/>
      <w:iCs/>
      <w:color w:val="2222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rFonts w:ascii="Microsoft YaHei" w:hAnsi="Microsoft YaHei" w:eastAsia="Microsoft YaHei"/>
      <w:b/>
      <w:bCs/>
      <w:i/>
      <w:iCs/>
      <w:color w:val="2222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/>
      <w:b/>
      <w:bCs/>
      <w:i/>
      <w:iCs/>
      <w:color w:val="2222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/>
      <w:i/>
      <w:iCs/>
      <w:color w:val="2222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/>
      <w:b/>
      <w:bCs/>
      <w:i/>
      <w:iCs/>
      <w:color w:val="2222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/>
      <w:smallCaps/>
      <w:color w:val="2222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/>
      <w:b/>
      <w:bCs/>
      <w:smallCaps/>
      <w:color w:val="22222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/>
      <w:b/>
      <w:bCs/>
      <w:smallCaps/>
      <w:color w:val="222222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  <w:rPr>
      <w:rFonts w:ascii="Microsoft YaHei" w:hAnsi="Microsoft YaHei" w:eastAsia="Microsoft YaHei"/>
      <w:color w:val="2222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项目收口任务与冲刺计划（组员版）</dc:title>
  <dc:subject>赛题八 · 当前状态、验收缺口与倒计时执行安排</dc:subject>
  <dc:creator>项目组</dc:creator>
  <cp:keywords>项目收口,验收,交付,跨源架构,冲刺计划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