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A2C47">
      <w:pPr>
        <w:pStyle w:val="31"/>
        <w:snapToGrid w:val="0"/>
        <w:rPr>
          <w:rFonts w:hint="eastAsia" w:ascii="黑体" w:hAnsi="黑体" w:eastAsia="黑体" w:cs="黑体"/>
          <w:b/>
          <w:bCs/>
          <w:sz w:val="60"/>
          <w:szCs w:val="96"/>
        </w:rPr>
      </w:pPr>
      <w:r>
        <w:rPr>
          <w:rFonts w:hint="eastAsia" w:ascii="黑体" w:hAnsi="黑体" w:eastAsia="黑体" w:cs="黑体"/>
          <w:b/>
          <w:bCs/>
          <w:sz w:val="60"/>
          <w:szCs w:val="96"/>
        </w:rPr>
        <w:t>项目近期进展与实验结果</w:t>
      </w:r>
    </w:p>
    <w:p w14:paraId="4D8C2D14">
      <w:pPr>
        <w:snapToGrid w:val="0"/>
        <w:spacing w:after="300"/>
      </w:pPr>
      <w:r>
        <w:rPr>
          <w:rFonts w:ascii="微软雅黑" w:hAnsi="微软雅黑" w:eastAsia="微软雅黑"/>
          <w:color w:val="000000"/>
          <w:sz w:val="19"/>
        </w:rPr>
        <w:t>多模态数据驱动的可解释精准问数问答智能体  |  2026年10月10日</w:t>
      </w:r>
      <w:bookmarkStart w:id="0" w:name="_GoBack"/>
      <w:bookmarkEnd w:id="0"/>
    </w:p>
    <w:p w14:paraId="5C294918">
      <w:pPr>
        <w:snapToGrid w:val="0"/>
      </w:pPr>
      <w:r>
        <w:rPr>
          <w:rFonts w:ascii="微软雅黑" w:hAnsi="微软雅黑" w:eastAsia="微软雅黑"/>
          <w:b/>
          <w:color w:val="000000"/>
        </w:rPr>
        <w:t>项目主线已经跑通，</w:t>
      </w:r>
      <w:r>
        <w:rPr>
          <w:rFonts w:ascii="微软雅黑" w:hAnsi="微软雅黑" w:eastAsia="微软雅黑"/>
          <w:color w:val="000000"/>
        </w:rPr>
        <w:t>当前重点正从功能开发转向完整测试和比赛材料准备。按已实现功能粗略估计，开发完成度约</w:t>
      </w:r>
      <w:r>
        <w:rPr>
          <w:rFonts w:hint="eastAsia"/>
          <w:color w:val="000000"/>
          <w:lang w:val="en-US" w:eastAsia="zh-CN"/>
        </w:rPr>
        <w:t>9</w:t>
      </w:r>
      <w:r>
        <w:rPr>
          <w:rFonts w:ascii="微软雅黑" w:hAnsi="微软雅黑" w:eastAsia="微软雅黑"/>
          <w:color w:val="000000"/>
        </w:rPr>
        <w:t>0%；这一估计不包含正式测试验收和比赛文档完成度。自然语言问数、文档问答、来源展示、多轮澄清及大结果集分页导出已有可运行链路。</w:t>
      </w:r>
    </w:p>
    <w:p w14:paraId="1CB171DC">
      <w:pPr>
        <w:snapToGrid w:val="0"/>
      </w:pPr>
      <w:r>
        <w:rPr>
          <w:rFonts w:ascii="微软雅黑" w:hAnsi="微软雅黑" w:eastAsia="微软雅黑"/>
          <w:b/>
          <w:color w:val="000000"/>
        </w:rPr>
        <w:t>跨源架构已取得阶段成果。</w:t>
      </w:r>
      <w:r>
        <w:rPr>
          <w:rFonts w:ascii="微软雅黑" w:hAnsi="微软雅黑" w:eastAsia="微软雅黑"/>
          <w:color w:val="000000"/>
        </w:rPr>
        <w:t>最新64道合成题中，新流程“回答正确且证据充分”通过62题，参考流程通过7题。KAG支线在另一批20道公开业务资料整理题中，补充方案完整正确14题，RAG为10题；该支线仍在独立验证，尚未正式接入主项目。</w:t>
      </w:r>
    </w:p>
    <w:p w14:paraId="3D7B81BC">
      <w:pPr>
        <w:pStyle w:val="3"/>
        <w:snapToGrid w:val="0"/>
        <w:rPr>
          <w:rFonts w:hint="eastAsia" w:ascii="黑体" w:hAnsi="黑体" w:eastAsia="黑体" w:cs="黑体"/>
        </w:rPr>
      </w:pPr>
      <w:r>
        <w:rPr>
          <w:rFonts w:hint="eastAsia" w:ascii="黑体" w:hAnsi="黑体" w:eastAsia="黑体" w:cs="黑体"/>
        </w:rPr>
        <w:t>主线与中级任务状态</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80"/>
        <w:gridCol w:w="6768"/>
        <w:gridCol w:w="2088"/>
      </w:tblGrid>
      <w:tr w14:paraId="2A5939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080" w:type="dxa"/>
            <w:shd w:val="clear" w:color="auto" w:fill="254F6A"/>
            <w:tcMar>
              <w:top w:w="95" w:type="dxa"/>
              <w:left w:w="115" w:type="dxa"/>
              <w:bottom w:w="95" w:type="dxa"/>
              <w:right w:w="115" w:type="dxa"/>
            </w:tcMar>
            <w:vAlign w:val="center"/>
          </w:tcPr>
          <w:p w14:paraId="63A26731">
            <w:pPr>
              <w:snapToGrid w:val="0"/>
              <w:spacing w:after="0" w:line="280" w:lineRule="exact"/>
              <w:jc w:val="center"/>
            </w:pPr>
            <w:r>
              <w:rPr>
                <w:rFonts w:ascii="微软雅黑" w:hAnsi="微软雅黑" w:eastAsia="微软雅黑"/>
                <w:b/>
                <w:color w:val="FFFFFF"/>
                <w:sz w:val="20"/>
              </w:rPr>
              <w:t>任务</w:t>
            </w:r>
          </w:p>
        </w:tc>
        <w:tc>
          <w:tcPr>
            <w:tcW w:w="6768" w:type="dxa"/>
            <w:shd w:val="clear" w:color="auto" w:fill="254F6A"/>
            <w:tcMar>
              <w:top w:w="95" w:type="dxa"/>
              <w:left w:w="115" w:type="dxa"/>
              <w:bottom w:w="95" w:type="dxa"/>
              <w:right w:w="115" w:type="dxa"/>
            </w:tcMar>
            <w:vAlign w:val="center"/>
          </w:tcPr>
          <w:p w14:paraId="6EB835A0">
            <w:pPr>
              <w:snapToGrid w:val="0"/>
              <w:spacing w:after="0" w:line="280" w:lineRule="exact"/>
              <w:jc w:val="left"/>
            </w:pPr>
            <w:r>
              <w:rPr>
                <w:rFonts w:ascii="微软雅黑" w:hAnsi="微软雅黑" w:eastAsia="微软雅黑"/>
                <w:b/>
                <w:color w:val="FFFFFF"/>
                <w:sz w:val="20"/>
              </w:rPr>
              <w:t>已实现的主要能力</w:t>
            </w:r>
          </w:p>
        </w:tc>
        <w:tc>
          <w:tcPr>
            <w:tcW w:w="2088" w:type="dxa"/>
            <w:shd w:val="clear" w:color="auto" w:fill="254F6A"/>
            <w:tcMar>
              <w:top w:w="95" w:type="dxa"/>
              <w:left w:w="115" w:type="dxa"/>
              <w:bottom w:w="95" w:type="dxa"/>
              <w:right w:w="115" w:type="dxa"/>
            </w:tcMar>
            <w:vAlign w:val="center"/>
          </w:tcPr>
          <w:p w14:paraId="3CCF68AF">
            <w:pPr>
              <w:snapToGrid w:val="0"/>
              <w:spacing w:after="0" w:line="280" w:lineRule="exact"/>
              <w:jc w:val="center"/>
            </w:pPr>
            <w:r>
              <w:rPr>
                <w:rFonts w:ascii="微软雅黑" w:hAnsi="微软雅黑" w:eastAsia="微软雅黑"/>
                <w:b/>
                <w:color w:val="FFFFFF"/>
                <w:sz w:val="20"/>
              </w:rPr>
              <w:t>当前状态</w:t>
            </w:r>
          </w:p>
        </w:tc>
      </w:tr>
      <w:tr w14:paraId="6C941F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3F6F8"/>
            <w:tcMar>
              <w:top w:w="95" w:type="dxa"/>
              <w:left w:w="115" w:type="dxa"/>
              <w:bottom w:w="95" w:type="dxa"/>
              <w:right w:w="115" w:type="dxa"/>
            </w:tcMar>
            <w:vAlign w:val="center"/>
          </w:tcPr>
          <w:p w14:paraId="7450268D">
            <w:pPr>
              <w:snapToGrid w:val="0"/>
              <w:spacing w:after="0" w:line="280" w:lineRule="exact"/>
              <w:jc w:val="center"/>
            </w:pPr>
            <w:r>
              <w:rPr>
                <w:rFonts w:ascii="微软雅黑" w:hAnsi="微软雅黑" w:eastAsia="微软雅黑"/>
                <w:b w:val="0"/>
                <w:color w:val="000000"/>
                <w:sz w:val="20"/>
              </w:rPr>
              <w:t>任务1</w:t>
            </w:r>
          </w:p>
        </w:tc>
        <w:tc>
          <w:tcPr>
            <w:tcW w:w="6768" w:type="dxa"/>
            <w:shd w:val="clear" w:color="auto" w:fill="F3F6F8"/>
            <w:tcMar>
              <w:top w:w="95" w:type="dxa"/>
              <w:left w:w="115" w:type="dxa"/>
              <w:bottom w:w="95" w:type="dxa"/>
              <w:right w:w="115" w:type="dxa"/>
            </w:tcMar>
            <w:vAlign w:val="center"/>
          </w:tcPr>
          <w:p w14:paraId="7D90C737">
            <w:pPr>
              <w:snapToGrid w:val="0"/>
              <w:spacing w:after="0" w:line="280" w:lineRule="exact"/>
              <w:jc w:val="left"/>
            </w:pPr>
            <w:r>
              <w:rPr>
                <w:rFonts w:ascii="微软雅黑" w:hAnsi="微软雅黑" w:eastAsia="微软雅黑"/>
                <w:b w:val="0"/>
                <w:color w:val="000000"/>
                <w:sz w:val="20"/>
              </w:rPr>
              <w:t>识别提问要素并规范问题表达</w:t>
            </w:r>
          </w:p>
        </w:tc>
        <w:tc>
          <w:tcPr>
            <w:tcW w:w="2088" w:type="dxa"/>
            <w:shd w:val="clear" w:color="auto" w:fill="F3F6F8"/>
            <w:tcMar>
              <w:top w:w="95" w:type="dxa"/>
              <w:left w:w="115" w:type="dxa"/>
              <w:bottom w:w="95" w:type="dxa"/>
              <w:right w:w="115" w:type="dxa"/>
            </w:tcMar>
            <w:vAlign w:val="center"/>
          </w:tcPr>
          <w:p w14:paraId="13138EF7">
            <w:pPr>
              <w:snapToGrid w:val="0"/>
              <w:spacing w:after="0" w:line="280" w:lineRule="exact"/>
              <w:jc w:val="center"/>
            </w:pPr>
            <w:r>
              <w:rPr>
                <w:rFonts w:ascii="微软雅黑" w:hAnsi="微软雅黑" w:eastAsia="微软雅黑"/>
                <w:b w:val="0"/>
                <w:color w:val="000000"/>
                <w:sz w:val="20"/>
              </w:rPr>
              <w:t>基础已实现</w:t>
            </w:r>
            <w:r>
              <w:rPr>
                <w:rFonts w:ascii="微软雅黑" w:hAnsi="微软雅黑" w:eastAsia="微软雅黑"/>
                <w:b w:val="0"/>
                <w:color w:val="000000"/>
                <w:sz w:val="20"/>
              </w:rPr>
              <w:br w:type="textWrapping"/>
            </w:r>
            <w:r>
              <w:rPr>
                <w:rFonts w:ascii="微软雅黑" w:hAnsi="微软雅黑" w:eastAsia="微软雅黑"/>
                <w:b w:val="0"/>
                <w:color w:val="000000"/>
                <w:sz w:val="20"/>
              </w:rPr>
              <w:t>仍在完善</w:t>
            </w:r>
          </w:p>
        </w:tc>
      </w:tr>
      <w:tr w14:paraId="1BFD0F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95" w:type="dxa"/>
              <w:left w:w="115" w:type="dxa"/>
              <w:bottom w:w="95" w:type="dxa"/>
              <w:right w:w="115" w:type="dxa"/>
            </w:tcMar>
            <w:vAlign w:val="center"/>
          </w:tcPr>
          <w:p w14:paraId="03691BF4">
            <w:pPr>
              <w:snapToGrid w:val="0"/>
              <w:spacing w:after="0" w:line="280" w:lineRule="exact"/>
              <w:jc w:val="center"/>
            </w:pPr>
            <w:r>
              <w:rPr>
                <w:rFonts w:ascii="微软雅黑" w:hAnsi="微软雅黑" w:eastAsia="微软雅黑"/>
                <w:b w:val="0"/>
                <w:color w:val="000000"/>
                <w:sz w:val="20"/>
              </w:rPr>
              <w:t>任务3</w:t>
            </w:r>
          </w:p>
        </w:tc>
        <w:tc>
          <w:tcPr>
            <w:tcW w:w="6768" w:type="dxa"/>
            <w:shd w:val="clear" w:color="auto" w:fill="FFFFFF"/>
            <w:tcMar>
              <w:top w:w="95" w:type="dxa"/>
              <w:left w:w="115" w:type="dxa"/>
              <w:bottom w:w="95" w:type="dxa"/>
              <w:right w:w="115" w:type="dxa"/>
            </w:tcMar>
            <w:vAlign w:val="center"/>
          </w:tcPr>
          <w:p w14:paraId="00E4059C">
            <w:pPr>
              <w:snapToGrid w:val="0"/>
              <w:spacing w:after="0" w:line="280" w:lineRule="exact"/>
              <w:jc w:val="left"/>
            </w:pPr>
            <w:r>
              <w:rPr>
                <w:rFonts w:ascii="微软雅黑" w:hAnsi="微软雅黑" w:eastAsia="微软雅黑"/>
                <w:b w:val="0"/>
                <w:color w:val="000000"/>
                <w:sz w:val="20"/>
              </w:rPr>
              <w:t>必要条件缺失时追问并继续原问题</w:t>
            </w:r>
          </w:p>
        </w:tc>
        <w:tc>
          <w:tcPr>
            <w:tcW w:w="2088" w:type="dxa"/>
            <w:shd w:val="clear" w:color="auto" w:fill="FFFFFF"/>
            <w:tcMar>
              <w:top w:w="95" w:type="dxa"/>
              <w:left w:w="115" w:type="dxa"/>
              <w:bottom w:w="95" w:type="dxa"/>
              <w:right w:w="115" w:type="dxa"/>
            </w:tcMar>
            <w:vAlign w:val="center"/>
          </w:tcPr>
          <w:p w14:paraId="71468B5C">
            <w:pPr>
              <w:snapToGrid w:val="0"/>
              <w:spacing w:after="0" w:line="280" w:lineRule="exact"/>
              <w:jc w:val="center"/>
            </w:pPr>
            <w:r>
              <w:rPr>
                <w:rFonts w:ascii="微软雅黑" w:hAnsi="微软雅黑" w:eastAsia="微软雅黑"/>
                <w:b w:val="0"/>
                <w:color w:val="000000"/>
                <w:sz w:val="20"/>
              </w:rPr>
              <w:t>基本完成</w:t>
            </w:r>
          </w:p>
        </w:tc>
      </w:tr>
      <w:tr w14:paraId="3B3CD1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3F6F8"/>
            <w:tcMar>
              <w:top w:w="95" w:type="dxa"/>
              <w:left w:w="115" w:type="dxa"/>
              <w:bottom w:w="95" w:type="dxa"/>
              <w:right w:w="115" w:type="dxa"/>
            </w:tcMar>
            <w:vAlign w:val="center"/>
          </w:tcPr>
          <w:p w14:paraId="213C2B5E">
            <w:pPr>
              <w:snapToGrid w:val="0"/>
              <w:spacing w:after="0" w:line="280" w:lineRule="exact"/>
              <w:jc w:val="center"/>
            </w:pPr>
            <w:r>
              <w:rPr>
                <w:rFonts w:ascii="微软雅黑" w:hAnsi="微软雅黑" w:eastAsia="微软雅黑"/>
                <w:b w:val="0"/>
                <w:color w:val="000000"/>
                <w:sz w:val="20"/>
              </w:rPr>
              <w:t>任务4</w:t>
            </w:r>
          </w:p>
        </w:tc>
        <w:tc>
          <w:tcPr>
            <w:tcW w:w="6768" w:type="dxa"/>
            <w:shd w:val="clear" w:color="auto" w:fill="F3F6F8"/>
            <w:tcMar>
              <w:top w:w="95" w:type="dxa"/>
              <w:left w:w="115" w:type="dxa"/>
              <w:bottom w:w="95" w:type="dxa"/>
              <w:right w:w="115" w:type="dxa"/>
            </w:tcMar>
            <w:vAlign w:val="center"/>
          </w:tcPr>
          <w:p w14:paraId="2D037282">
            <w:pPr>
              <w:snapToGrid w:val="0"/>
              <w:spacing w:after="0" w:line="280" w:lineRule="exact"/>
              <w:jc w:val="left"/>
            </w:pPr>
            <w:r>
              <w:rPr>
                <w:rFonts w:ascii="微软雅黑" w:hAnsi="微软雅黑" w:eastAsia="微软雅黑"/>
                <w:b w:val="0"/>
                <w:color w:val="000000"/>
                <w:sz w:val="20"/>
              </w:rPr>
              <w:t>从多表环境中定位相关表和字段</w:t>
            </w:r>
          </w:p>
        </w:tc>
        <w:tc>
          <w:tcPr>
            <w:tcW w:w="2088" w:type="dxa"/>
            <w:shd w:val="clear" w:color="auto" w:fill="F3F6F8"/>
            <w:tcMar>
              <w:top w:w="95" w:type="dxa"/>
              <w:left w:w="115" w:type="dxa"/>
              <w:bottom w:w="95" w:type="dxa"/>
              <w:right w:w="115" w:type="dxa"/>
            </w:tcMar>
            <w:vAlign w:val="center"/>
          </w:tcPr>
          <w:p w14:paraId="231CC9F1">
            <w:pPr>
              <w:snapToGrid w:val="0"/>
              <w:spacing w:after="0" w:line="280" w:lineRule="exact"/>
              <w:jc w:val="center"/>
            </w:pPr>
            <w:r>
              <w:rPr>
                <w:rFonts w:ascii="微软雅黑" w:hAnsi="微软雅黑" w:eastAsia="微软雅黑"/>
                <w:b w:val="0"/>
                <w:color w:val="000000"/>
                <w:sz w:val="20"/>
              </w:rPr>
              <w:t>基本完成</w:t>
            </w:r>
          </w:p>
        </w:tc>
      </w:tr>
      <w:tr w14:paraId="100E29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95" w:type="dxa"/>
              <w:left w:w="115" w:type="dxa"/>
              <w:bottom w:w="95" w:type="dxa"/>
              <w:right w:w="115" w:type="dxa"/>
            </w:tcMar>
            <w:vAlign w:val="center"/>
          </w:tcPr>
          <w:p w14:paraId="11EF97F5">
            <w:pPr>
              <w:snapToGrid w:val="0"/>
              <w:spacing w:after="0" w:line="280" w:lineRule="exact"/>
              <w:jc w:val="center"/>
            </w:pPr>
            <w:r>
              <w:rPr>
                <w:rFonts w:ascii="微软雅黑" w:hAnsi="微软雅黑" w:eastAsia="微软雅黑"/>
                <w:b w:val="0"/>
                <w:color w:val="000000"/>
                <w:sz w:val="20"/>
              </w:rPr>
              <w:t>任务5</w:t>
            </w:r>
          </w:p>
        </w:tc>
        <w:tc>
          <w:tcPr>
            <w:tcW w:w="6768" w:type="dxa"/>
            <w:shd w:val="clear" w:color="auto" w:fill="FFFFFF"/>
            <w:tcMar>
              <w:top w:w="95" w:type="dxa"/>
              <w:left w:w="115" w:type="dxa"/>
              <w:bottom w:w="95" w:type="dxa"/>
              <w:right w:w="115" w:type="dxa"/>
            </w:tcMar>
            <w:vAlign w:val="center"/>
          </w:tcPr>
          <w:p w14:paraId="637AEB7C">
            <w:pPr>
              <w:snapToGrid w:val="0"/>
              <w:spacing w:after="0" w:line="280" w:lineRule="exact"/>
              <w:jc w:val="left"/>
            </w:pPr>
            <w:r>
              <w:rPr>
                <w:rFonts w:ascii="微软雅黑" w:hAnsi="微软雅黑" w:eastAsia="微软雅黑"/>
                <w:b w:val="0"/>
                <w:color w:val="000000"/>
                <w:sz w:val="20"/>
              </w:rPr>
              <w:t>多表关联及较复杂的数据库查询</w:t>
            </w:r>
          </w:p>
        </w:tc>
        <w:tc>
          <w:tcPr>
            <w:tcW w:w="2088" w:type="dxa"/>
            <w:shd w:val="clear" w:color="auto" w:fill="FFFFFF"/>
            <w:tcMar>
              <w:top w:w="95" w:type="dxa"/>
              <w:left w:w="115" w:type="dxa"/>
              <w:bottom w:w="95" w:type="dxa"/>
              <w:right w:w="115" w:type="dxa"/>
            </w:tcMar>
            <w:vAlign w:val="center"/>
          </w:tcPr>
          <w:p w14:paraId="54AF5BDB">
            <w:pPr>
              <w:snapToGrid w:val="0"/>
              <w:spacing w:after="0" w:line="280" w:lineRule="exact"/>
              <w:jc w:val="center"/>
            </w:pPr>
            <w:r>
              <w:rPr>
                <w:rFonts w:ascii="微软雅黑" w:hAnsi="微软雅黑" w:eastAsia="微软雅黑"/>
                <w:b w:val="0"/>
                <w:color w:val="000000"/>
                <w:sz w:val="20"/>
              </w:rPr>
              <w:t>基本完成</w:t>
            </w:r>
          </w:p>
        </w:tc>
      </w:tr>
      <w:tr w14:paraId="1164B4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3F6F8"/>
            <w:tcMar>
              <w:top w:w="95" w:type="dxa"/>
              <w:left w:w="115" w:type="dxa"/>
              <w:bottom w:w="95" w:type="dxa"/>
              <w:right w:w="115" w:type="dxa"/>
            </w:tcMar>
            <w:vAlign w:val="center"/>
          </w:tcPr>
          <w:p w14:paraId="727B4B2B">
            <w:pPr>
              <w:snapToGrid w:val="0"/>
              <w:spacing w:after="0" w:line="280" w:lineRule="exact"/>
              <w:jc w:val="center"/>
            </w:pPr>
            <w:r>
              <w:rPr>
                <w:rFonts w:ascii="微软雅黑" w:hAnsi="微软雅黑" w:eastAsia="微软雅黑"/>
                <w:b w:val="0"/>
                <w:color w:val="000000"/>
                <w:sz w:val="20"/>
              </w:rPr>
              <w:t>任务7</w:t>
            </w:r>
          </w:p>
        </w:tc>
        <w:tc>
          <w:tcPr>
            <w:tcW w:w="6768" w:type="dxa"/>
            <w:shd w:val="clear" w:color="auto" w:fill="F3F6F8"/>
            <w:tcMar>
              <w:top w:w="95" w:type="dxa"/>
              <w:left w:w="115" w:type="dxa"/>
              <w:bottom w:w="95" w:type="dxa"/>
              <w:right w:w="115" w:type="dxa"/>
            </w:tcMar>
            <w:vAlign w:val="center"/>
          </w:tcPr>
          <w:p w14:paraId="0E379879">
            <w:pPr>
              <w:snapToGrid w:val="0"/>
              <w:spacing w:after="0" w:line="280" w:lineRule="exact"/>
              <w:jc w:val="left"/>
            </w:pPr>
            <w:r>
              <w:rPr>
                <w:rFonts w:ascii="微软雅黑" w:hAnsi="微软雅黑" w:eastAsia="微软雅黑"/>
                <w:b w:val="0"/>
                <w:color w:val="000000"/>
                <w:sz w:val="20"/>
              </w:rPr>
              <w:t>识别文档层级并按章节分层切片</w:t>
            </w:r>
          </w:p>
        </w:tc>
        <w:tc>
          <w:tcPr>
            <w:tcW w:w="2088" w:type="dxa"/>
            <w:shd w:val="clear" w:color="auto" w:fill="F3F6F8"/>
            <w:tcMar>
              <w:top w:w="95" w:type="dxa"/>
              <w:left w:w="115" w:type="dxa"/>
              <w:bottom w:w="95" w:type="dxa"/>
              <w:right w:w="115" w:type="dxa"/>
            </w:tcMar>
            <w:vAlign w:val="center"/>
          </w:tcPr>
          <w:p w14:paraId="609BD3B2">
            <w:pPr>
              <w:snapToGrid w:val="0"/>
              <w:spacing w:after="0" w:line="280" w:lineRule="exact"/>
              <w:jc w:val="center"/>
            </w:pPr>
            <w:r>
              <w:rPr>
                <w:rFonts w:ascii="微软雅黑" w:hAnsi="微软雅黑" w:eastAsia="微软雅黑"/>
                <w:b w:val="0"/>
                <w:color w:val="000000"/>
                <w:sz w:val="20"/>
              </w:rPr>
              <w:t>基本完成</w:t>
            </w:r>
          </w:p>
        </w:tc>
      </w:tr>
    </w:tbl>
    <w:p w14:paraId="314419F1">
      <w:pPr>
        <w:snapToGrid w:val="0"/>
        <w:spacing w:after="0"/>
      </w:pPr>
    </w:p>
    <w:p w14:paraId="520E3CA3">
      <w:pPr>
        <w:snapToGrid w:val="0"/>
      </w:pPr>
      <w:r>
        <w:rPr>
          <w:rFonts w:ascii="微软雅黑" w:hAnsi="微软雅黑" w:eastAsia="微软雅黑"/>
          <w:color w:val="000000"/>
          <w:sz w:val="21"/>
        </w:rPr>
        <w:t>最近一次有效在线回归中，任务3、4、5各20道开发样例均通过对应检查；其中任务4、5与参考查询结果严格匹配。此前大结果集截断问题已经补齐，U19现可完整取回2,480行，并完成分页和导出验证。这些样例已用于开发，说明具体功能可运行，但不替代未见题验收。</w:t>
      </w:r>
    </w:p>
    <w:p w14:paraId="4C9C6BA6">
      <w:pPr>
        <w:pStyle w:val="4"/>
        <w:snapToGrid w:val="0"/>
      </w:pPr>
      <w:r>
        <w:t>最近一周主要推进</w:t>
      </w:r>
    </w:p>
    <w:p w14:paraId="75EF3A81">
      <w:pPr>
        <w:snapToGrid w:val="0"/>
      </w:pPr>
      <w:r>
        <w:rPr>
          <w:rFonts w:ascii="微软雅黑" w:hAnsi="微软雅黑" w:eastAsia="微软雅黑"/>
          <w:color w:val="000000"/>
          <w:sz w:val="21"/>
        </w:rPr>
        <w:t>我们一边补齐主线和中级任务的实际运行检查，一边把跨源设计从技术模块的组合推进为可验证的整体流程。实验中发现的条款解析、错误关联和过度拒答问题，已逐步转成代码约束与回归检查；最新一轮还完成了数据冻结、实际双流程运行、匿名评审、分歧裁决和解盲汇总，形成了可以复查的实验记录。</w:t>
      </w:r>
    </w:p>
    <w:p w14:paraId="0F96DB9C">
      <w:pPr>
        <w:snapToGrid w:val="0"/>
      </w:pPr>
      <w:r>
        <w:br w:type="page"/>
      </w:r>
    </w:p>
    <w:p w14:paraId="61C7C919">
      <w:pPr>
        <w:pStyle w:val="3"/>
        <w:snapToGrid w:val="0"/>
        <w:rPr>
          <w:rFonts w:hint="eastAsia" w:ascii="黑体" w:hAnsi="黑体" w:eastAsia="黑体" w:cs="黑体"/>
        </w:rPr>
      </w:pPr>
      <w:r>
        <w:rPr>
          <w:rFonts w:hint="eastAsia" w:ascii="黑体" w:hAnsi="黑体" w:eastAsia="黑体" w:cs="黑体"/>
        </w:rPr>
        <w:t>跨源事实核验架构</w:t>
      </w:r>
    </w:p>
    <w:p w14:paraId="664C3F46">
      <w:pPr>
        <w:snapToGrid w:val="0"/>
      </w:pPr>
      <w:r>
        <w:rPr>
          <w:rFonts w:ascii="微软雅黑" w:hAnsi="微软雅黑" w:eastAsia="微软雅黑"/>
          <w:color w:val="000000"/>
        </w:rPr>
        <w:t>根据老师之前提出的整体架构意见，我们把主线组织为：先识别问题所需事实及依赖，再选择数据库或文档取得证据，核对跨源对象与口径，并将每项结论关联到来源。SQL、文档检索增强生成（RAG）和多跳检索按需承担各环节任务；证据不足时有界补查、澄清或停止，简单问题保留短路径。</w:t>
      </w:r>
    </w:p>
    <w:p w14:paraId="3666DDCB">
      <w:pPr>
        <w:keepNext/>
        <w:snapToGrid w:val="0"/>
        <w:spacing w:before="40" w:after="60" w:line="240" w:lineRule="auto"/>
      </w:pPr>
      <w:r>
        <w:drawing>
          <wp:inline distT="0" distB="0" distL="114300" distR="114300">
            <wp:extent cx="6309360" cy="1915160"/>
            <wp:effectExtent l="0" t="0" r="15240" b="8890"/>
            <wp:docPr id="1" name="Picture 1" descr="图1  整体问答流程  跨源核验面向一般复合问题，不限于工单合同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整体问答流程  跨源核验面向一般复合问题，不限于工单合同场景"/>
                    <pic:cNvPicPr>
                      <a:picLocks noChangeAspect="1"/>
                    </pic:cNvPicPr>
                  </pic:nvPicPr>
                  <pic:blipFill>
                    <a:blip r:embed="rId7"/>
                    <a:stretch>
                      <a:fillRect/>
                    </a:stretch>
                  </pic:blipFill>
                  <pic:spPr>
                    <a:xfrm>
                      <a:off x="0" y="0"/>
                      <a:ext cx="6309360" cy="1915341"/>
                    </a:xfrm>
                    <a:prstGeom prst="rect">
                      <a:avLst/>
                    </a:prstGeom>
                  </pic:spPr>
                </pic:pic>
              </a:graphicData>
            </a:graphic>
          </wp:inline>
        </w:drawing>
      </w:r>
    </w:p>
    <w:p w14:paraId="1458F0C8">
      <w:pPr>
        <w:snapToGrid w:val="0"/>
        <w:spacing w:after="180"/>
      </w:pPr>
      <w:r>
        <w:rPr>
          <w:rFonts w:ascii="微软雅黑" w:hAnsi="微软雅黑" w:eastAsia="微软雅黑"/>
          <w:color w:val="626C72"/>
          <w:sz w:val="18"/>
        </w:rPr>
        <w:t>图1  整体问答流程  跨源核验面向一般复合问题，不限于工单合同场景</w:t>
      </w:r>
    </w:p>
    <w:p w14:paraId="48FE1EC5">
      <w:pPr>
        <w:pStyle w:val="3"/>
        <w:snapToGrid w:val="0"/>
        <w:rPr>
          <w:rFonts w:hint="eastAsia" w:ascii="黑体" w:hAnsi="黑体" w:eastAsia="黑体" w:cs="黑体"/>
        </w:rPr>
      </w:pPr>
      <w:r>
        <w:rPr>
          <w:rFonts w:hint="eastAsia" w:ascii="黑体" w:hAnsi="黑体" w:eastAsia="黑体" w:cs="黑体"/>
        </w:rPr>
        <w:t>最新跨源对照实验</w:t>
      </w:r>
    </w:p>
    <w:p w14:paraId="1F48B582">
      <w:pPr>
        <w:snapToGrid w:val="0"/>
      </w:pPr>
      <w:r>
        <w:rPr>
          <w:rFonts w:ascii="微软雅黑" w:hAnsi="微软雅黑" w:eastAsia="微软雅黑"/>
          <w:color w:val="000000"/>
        </w:rPr>
        <w:t>CS18采用64道新合成题、两流程共128份回答。参考流程使用同题、同数据和匹配工具条件，但不使用新流程的完整事实核验机制；它是本次对照实现，不代表所有传统方法。</w:t>
      </w:r>
    </w:p>
    <w:p w14:paraId="67549264">
      <w:pPr>
        <w:keepNext/>
        <w:snapToGrid w:val="0"/>
        <w:spacing w:before="40" w:after="60" w:line="240" w:lineRule="auto"/>
      </w:pPr>
      <w:r>
        <w:drawing>
          <wp:inline distT="0" distB="0" distL="114300" distR="114300">
            <wp:extent cx="6309360" cy="1758950"/>
            <wp:effectExtent l="0" t="0" r="15240" b="12700"/>
            <wp:docPr id="2" name="Picture 2" descr="图2  CS18严格通过结果  新流程96.9%，参考流程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CS18严格通过结果  新流程96.9%，参考流程10.9%"/>
                    <pic:cNvPicPr>
                      <a:picLocks noChangeAspect="1"/>
                    </pic:cNvPicPr>
                  </pic:nvPicPr>
                  <pic:blipFill>
                    <a:blip r:embed="rId8"/>
                    <a:stretch>
                      <a:fillRect/>
                    </a:stretch>
                  </pic:blipFill>
                  <pic:spPr>
                    <a:xfrm>
                      <a:off x="0" y="0"/>
                      <a:ext cx="6309360" cy="1758973"/>
                    </a:xfrm>
                    <a:prstGeom prst="rect">
                      <a:avLst/>
                    </a:prstGeom>
                  </pic:spPr>
                </pic:pic>
              </a:graphicData>
            </a:graphic>
          </wp:inline>
        </w:drawing>
      </w:r>
    </w:p>
    <w:p w14:paraId="4BD78E3D">
      <w:pPr>
        <w:snapToGrid w:val="0"/>
        <w:spacing w:after="180"/>
      </w:pPr>
      <w:r>
        <w:rPr>
          <w:rFonts w:ascii="微软雅黑" w:hAnsi="微软雅黑" w:eastAsia="微软雅黑"/>
          <w:color w:val="626C72"/>
          <w:sz w:val="18"/>
        </w:rPr>
        <w:t>图2  CS18严格通过结果  新流程96.9%，参考流程10.9%</w:t>
      </w:r>
    </w:p>
    <w:p w14:paraId="30E1D219">
      <w:pPr>
        <w:snapToGrid w:val="0"/>
      </w:pPr>
      <w:r>
        <w:rPr>
          <w:rFonts w:ascii="微软雅黑" w:hAnsi="微软雅黑" w:eastAsia="微软雅黑"/>
          <w:color w:val="000000"/>
          <w:sz w:val="21"/>
        </w:rPr>
        <w:t>两流程共同通过7题，仅新流程通过55题，仅参考流程通过0题，共同未通过2题。本批结果支持新流程更可靠地核验事实与证据，并减少材料足够时仍拒答的情况。</w:t>
      </w:r>
    </w:p>
    <w:p w14:paraId="54E94109">
      <w:pPr>
        <w:snapToGrid w:val="0"/>
      </w:pPr>
      <w:r>
        <w:rPr>
          <w:rFonts w:ascii="微软雅黑" w:hAnsi="微软雅黑" w:eastAsia="微软雅黑"/>
          <w:color w:val="000000"/>
          <w:sz w:val="21"/>
        </w:rPr>
        <w:t>题目围绕公共安全无线通信站点设备维保重新编制，记录与合同均为合成数据，不是实际用户问题或官方赛题。覆盖时限、有效期、客户范围、缺失或倒序事件、条款冲突等组合；出题者知晓历史设计。运行前锁定数据、标准答案和协议，运行后封存回答，再经匿名评审、人类分歧裁决和外部复算，结果可追溯。</w:t>
      </w:r>
    </w:p>
    <w:p w14:paraId="1B62225C">
      <w:pPr>
        <w:snapToGrid w:val="0"/>
      </w:pPr>
      <w:r>
        <w:rPr>
          <w:rFonts w:ascii="微软雅黑" w:hAnsi="微软雅黑" w:eastAsia="微软雅黑"/>
          <w:color w:val="000000"/>
          <w:sz w:val="21"/>
        </w:rPr>
        <w:t>这是合成题上的描述性成果，不直接代表真实业务效果。评审顺序未分别随机化、两题晚停及协议层级待明确，均已记录；下一轮将整改后独立复验，不把本轮表述为无流程偏离的完整验收。</w:t>
      </w:r>
    </w:p>
    <w:p w14:paraId="622964DA">
      <w:pPr>
        <w:snapToGrid w:val="0"/>
      </w:pPr>
      <w:r>
        <w:br w:type="page"/>
      </w:r>
    </w:p>
    <w:p w14:paraId="3B503D45">
      <w:pPr>
        <w:pStyle w:val="3"/>
        <w:snapToGrid w:val="0"/>
        <w:rPr>
          <w:rFonts w:hint="eastAsia" w:ascii="黑体" w:hAnsi="黑体" w:eastAsia="黑体" w:cs="黑体"/>
        </w:rPr>
      </w:pPr>
      <w:r>
        <w:rPr>
          <w:rFonts w:hint="eastAsia" w:ascii="黑体" w:hAnsi="黑体" w:eastAsia="黑体" w:cs="黑体"/>
        </w:rPr>
        <w:t>KAG补充检索支线</w:t>
      </w:r>
    </w:p>
    <w:p w14:paraId="358508F8">
      <w:pPr>
        <w:snapToGrid w:val="0"/>
      </w:pPr>
      <w:r>
        <w:rPr>
          <w:rFonts w:ascii="微软雅黑" w:hAnsi="微软雅黑" w:eastAsia="微软雅黑"/>
          <w:color w:val="000000"/>
        </w:rPr>
        <w:t>KAG 实验方向的变化。原计划是让 RAG 和 KAG 对每道题并行检索、比较效果；前期对照已经提供了一些参考。早期 30 道双跳题测试中，项目多跳 RAG 平均耗时约 6.21 秒，KAG 图谱检索约 27.31 秒。两种方法的服务和检索设置并非完全同口径，这不能当作纯算法速度比较，但说明每道题都走 KAG 可能带来较高时间成本。</w:t>
      </w:r>
      <w:r>
        <w:rPr>
          <w:rFonts w:ascii="微软雅黑" w:hAnsi="微软雅黑" w:eastAsia="微软雅黑"/>
          <w:b/>
          <w:bCs/>
          <w:color w:val="000000"/>
        </w:rPr>
        <w:t>考虑到我们的目标是让 KAG 补充 RAG，而不是替代它，当前方向改为优先使用 RAG，遇到跨文档关系或证据缺口时再调用 KAG。</w:t>
      </w:r>
      <w:r>
        <w:rPr>
          <w:rFonts w:ascii="微软雅黑" w:hAnsi="微软雅黑" w:eastAsia="微软雅黑"/>
          <w:color w:val="000000"/>
        </w:rPr>
        <w:t>这是实验方向调整，尚未正式接入主项目。</w:t>
      </w:r>
    </w:p>
    <w:p w14:paraId="6493B02F">
      <w:pPr>
        <w:snapToGrid w:val="0"/>
      </w:pPr>
      <w:r>
        <w:rPr>
          <w:rFonts w:ascii="微软雅黑" w:hAnsi="微软雅黑" w:eastAsia="微软雅黑"/>
          <w:color w:val="000000"/>
        </w:rPr>
        <w:t>最近一周，我们用两个实际采购项目的材料做了配对测试：2025—2027年度福建省机动车驾驶培训监管服务平台信息化运行维护项目，以及南京邮电大学通信学院先进通信技术和智能信息处理综合实践平台相关设备器材采购项目。测试共整理 9 份资料、20 道问题；先锁定每题的必答事实和必要来源，再运行 RAG 与“RAG 缺口触发 KAG”两种流程，并对答案进行盲审。</w:t>
      </w:r>
    </w:p>
    <w:p w14:paraId="2A1FB8C2">
      <w:pPr>
        <w:snapToGrid w:val="0"/>
      </w:pPr>
      <w:r>
        <w:rPr>
          <w:rFonts w:ascii="微软雅黑" w:hAnsi="微软雅黑" w:eastAsia="微软雅黑"/>
          <w:color w:val="000000"/>
        </w:rPr>
        <w:t>可信度方面，这次同题比较使用了预先锁定的评分基准，并经过人工盲审，因此这 20 道题的结果有一定参考价值。按“核心事实答全、事实有来源支持、必要引用链完整”的标准，RAG 完整正确 10/20，补充 KAG 方案 14/20，多 4 题。两种方案都完整的有 9 题，只有KAG补充方案完整的有 5 题，只有 RAG 完整的有 1 题。另有 RAG 1 次、KAG补充方案 2 次执行失败，目前能说这批题上的结果倾向于KAG补充方案。</w:t>
      </w:r>
    </w:p>
    <w:p w14:paraId="626C1452">
      <w:pPr>
        <w:keepNext/>
        <w:snapToGrid w:val="0"/>
        <w:spacing w:before="40" w:after="60" w:line="240" w:lineRule="auto"/>
      </w:pPr>
      <w:r>
        <w:drawing>
          <wp:inline distT="0" distB="0" distL="114300" distR="114300">
            <wp:extent cx="6309360" cy="1758950"/>
            <wp:effectExtent l="0" t="0" r="15240" b="12700"/>
            <wp:docPr id="3" name="Picture 3" descr="图3  KAG支线20道整理题的结果  与CS18使用不同题集及判据，不合并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KAG支线20道整理题的结果  与CS18使用不同题集及判据，不合并统计"/>
                    <pic:cNvPicPr>
                      <a:picLocks noChangeAspect="1"/>
                    </pic:cNvPicPr>
                  </pic:nvPicPr>
                  <pic:blipFill>
                    <a:blip r:embed="rId9"/>
                    <a:stretch>
                      <a:fillRect/>
                    </a:stretch>
                  </pic:blipFill>
                  <pic:spPr>
                    <a:xfrm>
                      <a:off x="0" y="0"/>
                      <a:ext cx="6309360" cy="1758973"/>
                    </a:xfrm>
                    <a:prstGeom prst="rect">
                      <a:avLst/>
                    </a:prstGeom>
                  </pic:spPr>
                </pic:pic>
              </a:graphicData>
            </a:graphic>
          </wp:inline>
        </w:drawing>
      </w:r>
    </w:p>
    <w:p w14:paraId="495E28E9">
      <w:pPr>
        <w:snapToGrid w:val="0"/>
        <w:spacing w:after="180"/>
      </w:pPr>
      <w:r>
        <w:rPr>
          <w:rFonts w:ascii="微软雅黑" w:hAnsi="微软雅黑" w:eastAsia="微软雅黑"/>
          <w:color w:val="626C72"/>
          <w:sz w:val="18"/>
        </w:rPr>
        <w:t>图3  KAG支线20道整理题的结果  与CS18使用不同题集及判据，不合并统计</w:t>
      </w:r>
    </w:p>
    <w:p w14:paraId="1FC41B47">
      <w:pPr>
        <w:snapToGrid w:val="0"/>
      </w:pPr>
      <w:r>
        <w:br w:type="page"/>
      </w:r>
    </w:p>
    <w:p w14:paraId="444CFAAE">
      <w:pPr>
        <w:pStyle w:val="3"/>
        <w:snapToGrid w:val="0"/>
        <w:rPr>
          <w:rFonts w:hint="eastAsia" w:ascii="黑体" w:hAnsi="黑体" w:eastAsia="黑体" w:cs="黑体"/>
        </w:rPr>
      </w:pPr>
      <w:r>
        <w:rPr>
          <w:rFonts w:hint="eastAsia" w:ascii="黑体" w:hAnsi="黑体" w:eastAsia="黑体" w:cs="黑体"/>
        </w:rPr>
        <w:t>KAG时间成本与后续安排</w:t>
      </w:r>
    </w:p>
    <w:p w14:paraId="05C616D2">
      <w:pPr>
        <w:snapToGrid w:val="0"/>
      </w:pPr>
      <w:r>
        <w:rPr>
          <w:rFonts w:ascii="微软雅黑" w:hAnsi="微软雅黑" w:eastAsia="微软雅黑"/>
          <w:color w:val="000000"/>
        </w:rPr>
        <w:t>时间成本仍是需要解决的问题。本次运行中，成功作答的平均耗时约为 RAG 79 秒、补充方案 155 秒，且补充方案 P95 耗时更高。这是我在电脑里单次试跑结果，不是跨硬件的速度基准；盲审也没有重新跑系统或测耗时。样本只有两个采购项目、20 道整理题，不能代表大量异构文档或其他业务场景。下一步我们计划使用新的业务资料和未见问题，继续核对答案及引用完整度、失败率和耗时，观察这次差异能否复现。</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320"/>
        <w:gridCol w:w="2016"/>
        <w:gridCol w:w="3600"/>
      </w:tblGrid>
      <w:tr w14:paraId="4D3462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320" w:type="dxa"/>
            <w:shd w:val="clear" w:color="auto" w:fill="254F6A"/>
            <w:tcMar>
              <w:top w:w="95" w:type="dxa"/>
              <w:left w:w="115" w:type="dxa"/>
              <w:bottom w:w="95" w:type="dxa"/>
              <w:right w:w="115" w:type="dxa"/>
            </w:tcMar>
            <w:vAlign w:val="center"/>
          </w:tcPr>
          <w:p w14:paraId="269FD195">
            <w:pPr>
              <w:snapToGrid w:val="0"/>
              <w:spacing w:after="0" w:line="280" w:lineRule="exact"/>
              <w:jc w:val="center"/>
            </w:pPr>
            <w:r>
              <w:rPr>
                <w:rFonts w:ascii="微软雅黑" w:hAnsi="微软雅黑" w:eastAsia="微软雅黑"/>
                <w:b/>
                <w:color w:val="FFFFFF"/>
                <w:sz w:val="20"/>
              </w:rPr>
              <w:t>本次成功作答的平均耗时</w:t>
            </w:r>
          </w:p>
        </w:tc>
        <w:tc>
          <w:tcPr>
            <w:tcW w:w="2016" w:type="dxa"/>
            <w:shd w:val="clear" w:color="auto" w:fill="254F6A"/>
            <w:tcMar>
              <w:top w:w="95" w:type="dxa"/>
              <w:left w:w="115" w:type="dxa"/>
              <w:bottom w:w="95" w:type="dxa"/>
              <w:right w:w="115" w:type="dxa"/>
            </w:tcMar>
            <w:vAlign w:val="center"/>
          </w:tcPr>
          <w:p w14:paraId="05BE0BC1">
            <w:pPr>
              <w:snapToGrid w:val="0"/>
              <w:spacing w:after="0" w:line="280" w:lineRule="exact"/>
              <w:jc w:val="left"/>
            </w:pPr>
            <w:r>
              <w:rPr>
                <w:rFonts w:ascii="微软雅黑" w:hAnsi="微软雅黑" w:eastAsia="微软雅黑"/>
                <w:b/>
                <w:color w:val="FFFFFF"/>
                <w:sz w:val="20"/>
              </w:rPr>
              <w:t>RAG</w:t>
            </w:r>
          </w:p>
        </w:tc>
        <w:tc>
          <w:tcPr>
            <w:tcW w:w="3600" w:type="dxa"/>
            <w:shd w:val="clear" w:color="auto" w:fill="254F6A"/>
            <w:tcMar>
              <w:top w:w="95" w:type="dxa"/>
              <w:left w:w="115" w:type="dxa"/>
              <w:bottom w:w="95" w:type="dxa"/>
              <w:right w:w="115" w:type="dxa"/>
            </w:tcMar>
            <w:vAlign w:val="center"/>
          </w:tcPr>
          <w:p w14:paraId="26D5BE18">
            <w:pPr>
              <w:snapToGrid w:val="0"/>
              <w:spacing w:after="0" w:line="280" w:lineRule="exact"/>
              <w:jc w:val="center"/>
            </w:pPr>
            <w:r>
              <w:rPr>
                <w:rFonts w:ascii="微软雅黑" w:hAnsi="微软雅黑" w:eastAsia="微软雅黑"/>
                <w:b/>
                <w:color w:val="FFFFFF"/>
                <w:sz w:val="20"/>
              </w:rPr>
              <w:t>RAG缺口触发KAG</w:t>
            </w:r>
          </w:p>
        </w:tc>
      </w:tr>
      <w:tr w14:paraId="080F0F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320" w:type="dxa"/>
            <w:shd w:val="clear" w:color="auto" w:fill="F3F6F8"/>
            <w:tcMar>
              <w:top w:w="95" w:type="dxa"/>
              <w:left w:w="115" w:type="dxa"/>
              <w:bottom w:w="95" w:type="dxa"/>
              <w:right w:w="115" w:type="dxa"/>
            </w:tcMar>
            <w:vAlign w:val="center"/>
          </w:tcPr>
          <w:p w14:paraId="288F6255">
            <w:pPr>
              <w:snapToGrid w:val="0"/>
              <w:spacing w:after="0" w:line="280" w:lineRule="exact"/>
              <w:jc w:val="center"/>
            </w:pPr>
            <w:r>
              <w:rPr>
                <w:rFonts w:ascii="微软雅黑" w:hAnsi="微软雅黑" w:eastAsia="微软雅黑"/>
                <w:b w:val="0"/>
                <w:color w:val="000000"/>
                <w:sz w:val="20"/>
              </w:rPr>
              <w:t>单次本机配对试跑</w:t>
            </w:r>
          </w:p>
        </w:tc>
        <w:tc>
          <w:tcPr>
            <w:tcW w:w="2016" w:type="dxa"/>
            <w:shd w:val="clear" w:color="auto" w:fill="F3F6F8"/>
            <w:tcMar>
              <w:top w:w="95" w:type="dxa"/>
              <w:left w:w="115" w:type="dxa"/>
              <w:bottom w:w="95" w:type="dxa"/>
              <w:right w:w="115" w:type="dxa"/>
            </w:tcMar>
            <w:vAlign w:val="center"/>
          </w:tcPr>
          <w:p w14:paraId="591CC9CE">
            <w:pPr>
              <w:snapToGrid w:val="0"/>
              <w:spacing w:after="0" w:line="280" w:lineRule="exact"/>
              <w:jc w:val="left"/>
            </w:pPr>
            <w:r>
              <w:rPr>
                <w:rFonts w:ascii="微软雅黑" w:hAnsi="微软雅黑" w:eastAsia="微软雅黑"/>
                <w:b w:val="0"/>
                <w:color w:val="000000"/>
                <w:sz w:val="20"/>
              </w:rPr>
              <w:t>约79秒</w:t>
            </w:r>
          </w:p>
        </w:tc>
        <w:tc>
          <w:tcPr>
            <w:tcW w:w="3600" w:type="dxa"/>
            <w:shd w:val="clear" w:color="auto" w:fill="F3F6F8"/>
            <w:tcMar>
              <w:top w:w="95" w:type="dxa"/>
              <w:left w:w="115" w:type="dxa"/>
              <w:bottom w:w="95" w:type="dxa"/>
              <w:right w:w="115" w:type="dxa"/>
            </w:tcMar>
            <w:vAlign w:val="center"/>
          </w:tcPr>
          <w:p w14:paraId="6DF631D7">
            <w:pPr>
              <w:snapToGrid w:val="0"/>
              <w:spacing w:after="0" w:line="280" w:lineRule="exact"/>
              <w:jc w:val="center"/>
            </w:pPr>
            <w:r>
              <w:rPr>
                <w:rFonts w:ascii="微软雅黑" w:hAnsi="微软雅黑" w:eastAsia="微软雅黑"/>
                <w:b w:val="0"/>
                <w:color w:val="000000"/>
                <w:sz w:val="20"/>
              </w:rPr>
              <w:t>约155秒</w:t>
            </w:r>
          </w:p>
        </w:tc>
      </w:tr>
    </w:tbl>
    <w:p w14:paraId="61C7D25C">
      <w:pPr>
        <w:snapToGrid w:val="0"/>
        <w:spacing w:after="0"/>
      </w:pPr>
    </w:p>
    <w:p w14:paraId="679F003F">
      <w:pPr>
        <w:snapToGrid w:val="0"/>
        <w:spacing w:after="260"/>
      </w:pPr>
      <w:r>
        <w:rPr>
          <w:rFonts w:ascii="微软雅黑" w:hAnsi="微软雅黑" w:eastAsia="微软雅黑"/>
          <w:color w:val="000000"/>
          <w:sz w:val="18"/>
        </w:rPr>
        <w:t>注：该表仅汇总上文同一次试跑，未作跨硬件速度比较。</w:t>
      </w:r>
    </w:p>
    <w:p w14:paraId="7CA4356A">
      <w:pPr>
        <w:pStyle w:val="3"/>
        <w:snapToGrid w:val="0"/>
        <w:rPr>
          <w:rFonts w:hint="eastAsia" w:ascii="黑体" w:hAnsi="黑体" w:eastAsia="黑体" w:cs="黑体"/>
        </w:rPr>
      </w:pPr>
      <w:r>
        <w:rPr>
          <w:rFonts w:hint="eastAsia" w:ascii="黑体" w:hAnsi="黑体" w:eastAsia="黑体" w:cs="黑体"/>
        </w:rPr>
        <w:t>下一步测试与材料准备</w:t>
      </w:r>
    </w:p>
    <w:p w14:paraId="1AD9B7D6">
      <w:pPr>
        <w:snapToGrid w:val="0"/>
      </w:pPr>
      <w:r>
        <w:rPr>
          <w:rFonts w:ascii="微软雅黑" w:hAnsi="微软雅黑" w:eastAsia="微软雅黑"/>
          <w:color w:val="000000"/>
        </w:rPr>
        <w:t>主线测试先集中补齐任务1和任务7的复杂表达与文档格式覆盖，再把五项中级任务和完整问答链放到同一版代码上复验。已有测试计划和交接单将作为执行入口；除答案正确性，还检查引用是否对应真实来源、多轮状态是否串扰、分页导出是否完整，以及异常和超时能否安全结束。通过后再加入未参与开发的新题，不用熟悉的样例代替验收。</w:t>
      </w:r>
    </w:p>
    <w:p w14:paraId="54441C95">
      <w:pPr>
        <w:snapToGrid w:val="0"/>
      </w:pPr>
      <w:r>
        <w:rPr>
          <w:rFonts w:ascii="微软雅黑" w:hAnsi="微软雅黑" w:eastAsia="微软雅黑"/>
          <w:color w:val="000000"/>
        </w:rPr>
        <w:t>跨源架构先收口已发现的流程问题，明确早停约束和协议优先级，并为不同评审者生成各自随机排序的匿名材料。随后冻结修订代码，再用全新题复验；同时引入带明确来源的真实公开业务资料，区分原始文档事实与整理生成的结构化记录，补充合成题不能提供的业务材料适应性证据。</w:t>
      </w:r>
    </w:p>
    <w:p w14:paraId="2B9443BA">
      <w:pPr>
        <w:snapToGrid w:val="0"/>
      </w:pPr>
      <w:r>
        <w:rPr>
          <w:rFonts w:ascii="微软雅黑" w:hAnsi="微软雅黑" w:eastAsia="微软雅黑"/>
          <w:color w:val="000000"/>
        </w:rPr>
        <w:t>KAG支线继续按“RAG优先、证据缺口再补充”的方向验证，用新的业务资料和未见题检查收益能否复现，并控制耗时和执行失败。是否接入主项目，依据复验结果和时间成本再决定，暂不把实验支线算作主线已完成功能。</w:t>
      </w:r>
    </w:p>
    <w:p w14:paraId="3B93C6BA">
      <w:pPr>
        <w:snapToGrid w:val="0"/>
      </w:pPr>
      <w:r>
        <w:rPr>
          <w:rFonts w:ascii="微软雅黑" w:hAnsi="微软雅黑" w:eastAsia="微软雅黑"/>
          <w:b/>
          <w:color w:val="000000"/>
        </w:rPr>
        <w:t>比赛设计报告和技术实现说明书马上开始编写，</w:t>
      </w:r>
      <w:r>
        <w:rPr>
          <w:rFonts w:ascii="微软雅黑" w:hAnsi="微软雅黑" w:eastAsia="微软雅黑"/>
          <w:color w:val="000000"/>
        </w:rPr>
        <w:t>争取三天内完成初版，先交老师审阅。我们会把功能状态、整体架构和已核验的实验结果写清楚，并保留尚待测试与整改的内容；当前重点是把已有工作整理成可演示、可复查的交付材料。</w:t>
      </w:r>
    </w:p>
    <w:p w14:paraId="0E8CDC0D">
      <w:pPr>
        <w:snapToGrid w:val="0"/>
      </w:pPr>
      <w:r>
        <w:rPr>
          <w:rFonts w:ascii="微软雅黑" w:hAnsi="微软雅黑" w:eastAsia="微软雅黑"/>
          <w:color w:val="000000"/>
        </w:rPr>
        <w:t>KAG-Thinker 的链接我也看到了，谢谢老师分享。我会把它作为相关工作参考，重点看看其中有哪些思路能帮助我们处理跨文档多跳检索和证据链溯源。</w:t>
      </w:r>
    </w:p>
    <w:p w14:paraId="28E88E3A">
      <w:pPr>
        <w:snapToGrid w:val="0"/>
        <w:spacing w:after="0"/>
      </w:pPr>
      <w:r>
        <w:rPr>
          <w:rFonts w:ascii="微软雅黑" w:hAnsi="微软雅黑" w:eastAsia="微软雅黑"/>
          <w:color w:val="000000"/>
          <w:sz w:val="17"/>
        </w:rPr>
        <w:t>记录依据：2026年10月7日主线在线回归汇总；2026年10月10日CS18受控解盲报告及外部回执；KAG支线本次提供的汇报原文。</w:t>
      </w:r>
    </w:p>
    <w:sectPr>
      <w:footerReference r:id="rId5" w:type="default"/>
      <w:pgSz w:w="12240" w:h="15840"/>
      <w:pgMar w:top="950" w:right="1123" w:bottom="936" w:left="1123" w:header="720"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1FC66">
    <w:pPr>
      <w:pStyle w:val="24"/>
      <w:jc w:val="right"/>
    </w:pPr>
    <w:r>
      <w:rPr>
        <w:rFonts w:ascii="微软雅黑" w:hAnsi="微软雅黑" w:eastAsia="微软雅黑"/>
        <w:color w:val="626C72"/>
        <w:sz w:val="16"/>
      </w:rPr>
      <w:t xml:space="preserve">项目进展  ·  2026年10月10日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900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after="180" w:line="340" w:lineRule="exact"/>
    </w:pPr>
    <w:rPr>
      <w:rFonts w:ascii="微软雅黑" w:hAnsi="微软雅黑" w:eastAsia="微软雅黑" w:cstheme="minorBidi"/>
      <w:color w:val="000000"/>
      <w:sz w:val="22"/>
      <w:szCs w:val="22"/>
      <w:lang w:val="en-US" w:eastAsia="en-US" w:bidi="ar-SA"/>
    </w:rPr>
  </w:style>
  <w:style w:type="paragraph" w:styleId="3">
    <w:name w:val="heading 1"/>
    <w:basedOn w:val="1"/>
    <w:next w:val="1"/>
    <w:link w:val="138"/>
    <w:qFormat/>
    <w:uiPriority w:val="9"/>
    <w:pPr>
      <w:keepNext/>
      <w:keepLines/>
      <w:snapToGrid w:val="0"/>
      <w:spacing w:before="240" w:after="180" w:line="442" w:lineRule="exact"/>
      <w:outlineLvl w:val="0"/>
    </w:pPr>
    <w:rPr>
      <w:rFonts w:asciiTheme="majorHAnsi" w:hAnsiTheme="majorHAnsi" w:eastAsiaTheme="majorEastAsia" w:cstheme="majorBidi"/>
      <w:b/>
      <w:bCs/>
      <w:color w:val="000000"/>
      <w:sz w:val="34"/>
      <w:szCs w:val="28"/>
    </w:rPr>
  </w:style>
  <w:style w:type="paragraph" w:styleId="4">
    <w:name w:val="heading 2"/>
    <w:basedOn w:val="1"/>
    <w:next w:val="1"/>
    <w:link w:val="139"/>
    <w:unhideWhenUsed/>
    <w:qFormat/>
    <w:uiPriority w:val="9"/>
    <w:pPr>
      <w:keepNext/>
      <w:keepLines/>
      <w:snapToGrid w:val="0"/>
      <w:spacing w:before="240" w:after="180" w:line="325" w:lineRule="exact"/>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0"/>
    <w:unhideWhenUsed/>
    <w:qFormat/>
    <w:uiPriority w:val="9"/>
    <w:pPr>
      <w:keepNext/>
      <w:keepLines/>
      <w:snapToGrid w:val="0"/>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napToGrid w:val="0"/>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napToGrid w:val="0"/>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napToGrid w:val="0"/>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napToGrid w:val="0"/>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napToGrid w:val="0"/>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napToGrid w:val="0"/>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napToGrid w:val="0"/>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snapToGrid w:val="0"/>
      <w:ind w:left="1080" w:hanging="360"/>
      <w:contextualSpacing/>
    </w:pPr>
  </w:style>
  <w:style w:type="paragraph" w:styleId="13">
    <w:name w:val="List Number 2"/>
    <w:basedOn w:val="1"/>
    <w:unhideWhenUsed/>
    <w:uiPriority w:val="99"/>
    <w:pPr>
      <w:numPr>
        <w:ilvl w:val="0"/>
        <w:numId w:val="1"/>
      </w:numPr>
      <w:snapToGrid w:val="0"/>
      <w:contextualSpacing/>
    </w:pPr>
  </w:style>
  <w:style w:type="paragraph" w:styleId="14">
    <w:name w:val="List Number"/>
    <w:basedOn w:val="1"/>
    <w:unhideWhenUsed/>
    <w:uiPriority w:val="99"/>
    <w:pPr>
      <w:numPr>
        <w:ilvl w:val="0"/>
        <w:numId w:val="2"/>
      </w:numPr>
      <w:snapToGrid w:val="0"/>
      <w:contextualSpacing/>
    </w:pPr>
  </w:style>
  <w:style w:type="paragraph" w:styleId="15">
    <w:name w:val="caption"/>
    <w:basedOn w:val="1"/>
    <w:next w:val="1"/>
    <w:semiHidden/>
    <w:unhideWhenUsed/>
    <w:qFormat/>
    <w:uiPriority w:val="35"/>
    <w:pPr>
      <w:snapToGrid w:val="0"/>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napToGrid w:val="0"/>
      <w:contextualSpacing/>
    </w:pPr>
  </w:style>
  <w:style w:type="paragraph" w:styleId="17">
    <w:name w:val="Body Text 3"/>
    <w:basedOn w:val="1"/>
    <w:link w:val="146"/>
    <w:unhideWhenUsed/>
    <w:qFormat/>
    <w:uiPriority w:val="99"/>
    <w:pPr>
      <w:snapToGrid w:val="0"/>
      <w:spacing w:after="120"/>
    </w:pPr>
    <w:rPr>
      <w:sz w:val="16"/>
      <w:szCs w:val="16"/>
    </w:rPr>
  </w:style>
  <w:style w:type="paragraph" w:styleId="18">
    <w:name w:val="List Bullet 3"/>
    <w:basedOn w:val="1"/>
    <w:unhideWhenUsed/>
    <w:uiPriority w:val="99"/>
    <w:pPr>
      <w:numPr>
        <w:ilvl w:val="0"/>
        <w:numId w:val="4"/>
      </w:numPr>
      <w:snapToGrid w:val="0"/>
      <w:contextualSpacing/>
    </w:pPr>
  </w:style>
  <w:style w:type="paragraph" w:styleId="19">
    <w:name w:val="Body Text"/>
    <w:basedOn w:val="1"/>
    <w:link w:val="144"/>
    <w:unhideWhenUsed/>
    <w:uiPriority w:val="99"/>
    <w:pPr>
      <w:snapToGrid w:val="0"/>
      <w:spacing w:after="120"/>
    </w:pPr>
  </w:style>
  <w:style w:type="paragraph" w:styleId="20">
    <w:name w:val="List Number 3"/>
    <w:basedOn w:val="1"/>
    <w:unhideWhenUsed/>
    <w:uiPriority w:val="99"/>
    <w:pPr>
      <w:numPr>
        <w:ilvl w:val="0"/>
        <w:numId w:val="5"/>
      </w:numPr>
      <w:snapToGrid w:val="0"/>
      <w:contextualSpacing/>
    </w:pPr>
  </w:style>
  <w:style w:type="paragraph" w:styleId="21">
    <w:name w:val="List 2"/>
    <w:basedOn w:val="1"/>
    <w:unhideWhenUsed/>
    <w:qFormat/>
    <w:uiPriority w:val="99"/>
    <w:pPr>
      <w:snapToGrid w:val="0"/>
      <w:ind w:left="720" w:hanging="360"/>
      <w:contextualSpacing/>
    </w:pPr>
  </w:style>
  <w:style w:type="paragraph" w:styleId="22">
    <w:name w:val="List Continue"/>
    <w:basedOn w:val="1"/>
    <w:unhideWhenUsed/>
    <w:uiPriority w:val="99"/>
    <w:pPr>
      <w:snapToGrid w:val="0"/>
      <w:spacing w:after="120"/>
      <w:ind w:left="360"/>
      <w:contextualSpacing/>
    </w:pPr>
  </w:style>
  <w:style w:type="paragraph" w:styleId="23">
    <w:name w:val="List Bullet 2"/>
    <w:basedOn w:val="1"/>
    <w:unhideWhenUsed/>
    <w:uiPriority w:val="99"/>
    <w:pPr>
      <w:numPr>
        <w:ilvl w:val="0"/>
        <w:numId w:val="6"/>
      </w:numPr>
      <w:snapToGrid w:val="0"/>
      <w:contextualSpacing/>
    </w:pPr>
  </w:style>
  <w:style w:type="paragraph" w:styleId="24">
    <w:name w:val="footer"/>
    <w:basedOn w:val="1"/>
    <w:link w:val="136"/>
    <w:unhideWhenUsed/>
    <w:qFormat/>
    <w:uiPriority w:val="99"/>
    <w:pPr>
      <w:tabs>
        <w:tab w:val="center" w:pos="4680"/>
        <w:tab w:val="right" w:pos="9360"/>
      </w:tabs>
      <w:snapToGrid w:val="0"/>
      <w:spacing w:after="0" w:line="240" w:lineRule="auto"/>
    </w:pPr>
  </w:style>
  <w:style w:type="paragraph" w:styleId="25">
    <w:name w:val="header"/>
    <w:basedOn w:val="1"/>
    <w:link w:val="135"/>
    <w:unhideWhenUsed/>
    <w:uiPriority w:val="99"/>
    <w:pPr>
      <w:tabs>
        <w:tab w:val="center" w:pos="4680"/>
        <w:tab w:val="right" w:pos="9360"/>
      </w:tabs>
      <w:snapToGrid w:val="0"/>
      <w:spacing w:after="0" w:line="240" w:lineRule="auto"/>
    </w:pPr>
  </w:style>
  <w:style w:type="paragraph" w:styleId="26">
    <w:name w:val="Subtitle"/>
    <w:basedOn w:val="1"/>
    <w:next w:val="1"/>
    <w:link w:val="142"/>
    <w:qFormat/>
    <w:uiPriority w:val="11"/>
    <w:pPr>
      <w:snapToGrid w:val="0"/>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snapToGrid w:val="0"/>
      <w:ind w:left="360" w:hanging="360"/>
      <w:contextualSpacing/>
    </w:pPr>
  </w:style>
  <w:style w:type="paragraph" w:styleId="28">
    <w:name w:val="Body Text 2"/>
    <w:basedOn w:val="1"/>
    <w:link w:val="145"/>
    <w:unhideWhenUsed/>
    <w:uiPriority w:val="99"/>
    <w:pPr>
      <w:snapToGrid w:val="0"/>
      <w:spacing w:after="120" w:line="480" w:lineRule="auto"/>
    </w:pPr>
  </w:style>
  <w:style w:type="paragraph" w:styleId="29">
    <w:name w:val="List Continue 2"/>
    <w:basedOn w:val="1"/>
    <w:unhideWhenUsed/>
    <w:uiPriority w:val="99"/>
    <w:pPr>
      <w:snapToGrid w:val="0"/>
      <w:spacing w:after="120"/>
      <w:ind w:left="720"/>
      <w:contextualSpacing/>
    </w:pPr>
  </w:style>
  <w:style w:type="paragraph" w:styleId="30">
    <w:name w:val="List Continue 3"/>
    <w:basedOn w:val="1"/>
    <w:unhideWhenUsed/>
    <w:uiPriority w:val="99"/>
    <w:pPr>
      <w:snapToGrid w:val="0"/>
      <w:spacing w:after="120"/>
      <w:ind w:left="1080"/>
      <w:contextualSpacing/>
    </w:pPr>
  </w:style>
  <w:style w:type="paragraph" w:styleId="31">
    <w:name w:val="Title"/>
    <w:basedOn w:val="1"/>
    <w:next w:val="1"/>
    <w:link w:val="141"/>
    <w:qFormat/>
    <w:uiPriority w:val="10"/>
    <w:pPr>
      <w:keepNext/>
      <w:snapToGrid w:val="0"/>
      <w:spacing w:before="0" w:after="180" w:line="598" w:lineRule="exact"/>
      <w:contextualSpacing/>
    </w:pPr>
    <w:rPr>
      <w:rFonts w:asciiTheme="majorHAnsi" w:hAnsiTheme="majorHAnsi" w:eastAsiaTheme="majorEastAsia" w:cstheme="majorBidi"/>
      <w:color w:val="000000"/>
      <w:spacing w:val="5"/>
      <w:kern w:val="28"/>
      <w:sz w:val="46"/>
      <w:szCs w:val="52"/>
    </w:rPr>
  </w:style>
  <w:style w:type="table" w:styleId="33">
    <w:name w:val="Table Grid"/>
    <w:basedOn w:val="32"/>
    <w:uiPriority w:val="59"/>
    <w:pPr>
      <w:snapToGrid w:val="0"/>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napToGrid w:val="0"/>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napToGrid w:val="0"/>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napToGrid w:val="0"/>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napToGrid w:val="0"/>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napToGrid w:val="0"/>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napToGrid w:val="0"/>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napToGrid w:val="0"/>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napToGrid w:val="0"/>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napToGrid w:val="0"/>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napToGrid w:val="0"/>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napToGrid w:val="0"/>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napToGrid w:val="0"/>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napToGrid w:val="0"/>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napToGrid w:val="0"/>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napToGrid w:val="0"/>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napToGrid w:val="0"/>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napToGrid w:val="0"/>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napToGrid w:val="0"/>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napToGrid w:val="0"/>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napToGrid w:val="0"/>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napToGrid w:val="0"/>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napToGrid w:val="0"/>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napToGrid w:val="0"/>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napToGrid w:val="0"/>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napToGrid w:val="0"/>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napToGrid w:val="0"/>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napToGrid w:val="0"/>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napToGrid w:val="0"/>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napToGrid w:val="0"/>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napToGrid w:val="0"/>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napToGrid w:val="0"/>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napToGrid w:val="0"/>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napToGrid w:val="0"/>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napToGrid w:val="0"/>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napToGrid w:val="0"/>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napToGrid w:val="0"/>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napToGrid w:val="0"/>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napToGrid w:val="0"/>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napToGrid w:val="0"/>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napToGrid w:val="0"/>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napToGrid w:val="0"/>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napToGrid w:val="0"/>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napToGrid w:val="0"/>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napToGrid w:val="0"/>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napToGrid w:val="0"/>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napToGrid w:val="0"/>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napToGrid w:val="0"/>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napToGrid w:val="0"/>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napToGrid w:val="0"/>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napToGrid w:val="0"/>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napToGrid w:val="0"/>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napToGrid w:val="0"/>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napToGrid w:val="0"/>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napToGrid w:val="0"/>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napToGrid w:val="0"/>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napToGrid w:val="0"/>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napToGrid w:val="0"/>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napToGrid w:val="0"/>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napToGrid w:val="0"/>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napToGrid w:val="0"/>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napToGrid w:val="0"/>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napToGrid w:val="0"/>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napToGrid w:val="0"/>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napToGrid w:val="0"/>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napToGrid w:val="0"/>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napToGrid w:val="0"/>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napToGrid w:val="0"/>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napToGrid w:val="0"/>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napToGrid w:val="0"/>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napToGrid w:val="0"/>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napToGrid w:val="0"/>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napToGrid w:val="0"/>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napToGrid w:val="0"/>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napToGrid w:val="0"/>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napToGrid w:val="0"/>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napToGrid w:val="0"/>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napToGrid w:val="0"/>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napToGrid w:val="0"/>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napToGrid w:val="0"/>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napToGrid w:val="0"/>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napToGrid w:val="0"/>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napToGrid w:val="0"/>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napToGrid w:val="0"/>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napToGrid w:val="0"/>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napToGrid w:val="0"/>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napToGrid w:val="0"/>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snapToGrid w:val="0"/>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napToGrid w:val="0"/>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snapToGrid w:val="0"/>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2629</Words>
  <Characters>2793</Characters>
  <Lines>0</Lines>
  <Paragraphs>0</Paragraphs>
  <TotalTime>3</TotalTime>
  <ScaleCrop>false</ScaleCrop>
  <LinksUpToDate>false</LinksUpToDate>
  <CharactersWithSpaces>2868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项目团队</dc:creator>
  <dc:description>generated by python-docx</dc:description>
  <cp:lastModifiedBy>Yrunxi</cp:lastModifiedBy>
  <dcterms:modified xsi:type="dcterms:W3CDTF">2026-10-10T09:48:01Z</dcterms:modified>
  <dc:subject>主线功能 跨源架构与KAG支线阶段汇报</dc:subject>
  <dc:title>项目近期进展与实验结果</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eyJoZGlkIjoiYjA1NWIyZjUwZjQyZWQyNzFmZjI2ZTllYjdlODZkNTIiLCJ1c2VySWQiOiIxMjgwMjI1NDE3In0=</vt:lpwstr>
  </property>
  <property fmtid="{D5CDD505-2E9C-101B-9397-08002B2CF9AE}" pid="3" name="KSOProductBuildVer">
    <vt:lpwstr>2052-12.1.0.28505</vt:lpwstr>
  </property>
  <property fmtid="{D5CDD505-2E9C-101B-9397-08002B2CF9AE}" pid="4" name="ICV">
    <vt:lpwstr>F428ACA808204CFA995A55AD294E34A6_12</vt:lpwstr>
  </property>
</Properties>
</file>