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仿宋" w:hAnsi="仿宋" w:eastAsia="仿宋" w:cs="仿宋"/>
          <w:b w:val="0"/>
          <w:bCs w:val="0"/>
          <w:i w:val="0"/>
          <w:iCs w:val="0"/>
        </w:rPr>
        <w:t>洞见游戏说明及 AI 应用说明</w:t>
      </w:r>
    </w:p>
    <w:p>
      <w:pPr>
        <w:pStyle w:val="Subtitle"/>
      </w:pPr>
      <w:r>
        <w:rPr>
          <w:rFonts w:ascii="仿宋" w:hAnsi="仿宋" w:eastAsia="仿宋" w:cs="仿宋"/>
          <w:b w:val="0"/>
          <w:bCs w:val="0"/>
          <w:i w:val="0"/>
          <w:iCs w:val="0"/>
        </w:rPr>
        <w:t>AI 游戏电竞赛道参赛作品说明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作品类型：2D 横版剧情冒险 Demo</w:t>
        <w:br/>
        <w:t>运行平台：Windows</w:t>
        <w:br/>
        <w:t>开发引擎：Godot 4.7　主要语言：GDScript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《洞见》以重庆城市历史与人文记忆为主题，通过五个玩法不同的章节，呈现现代青年从匆忙打卡到理解城市与他人的转变。AI 深度参与了项目框架、美术内容、玩法脚本、剧情迭代及测试验证。本说明介绍作品体验、AI 工具分工、技术实现与可核验的创作过程。</w:t>
      </w:r>
    </w:p>
    <w:p>
      <w:pPr>
        <w:pStyle w:val="Heading1"/>
      </w:pPr>
      <w:r>
        <w:rPr>
          <w:rFonts w:ascii="仿宋" w:hAnsi="仿宋" w:eastAsia="仿宋" w:cs="仿宋"/>
          <w:b w:val="0"/>
          <w:bCs w:val="0"/>
          <w:i w:val="0"/>
          <w:iCs w:val="0"/>
        </w:rPr>
        <w:t>一 作品故事与创作主题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玩家扮演急着前往洪崖洞打卡的现代青年陈默。他为了赶路选择抄近道，却仍遇上传单阿姨，在烦躁与追逐中触碰石扣，意外进入重庆的历史残影。玩家将走进磁器口窑场、中山古镇与战时防空洞，在劳动、承诺和救助中逐渐理解这座城市，最后回到当代洪崖洞。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作品以“从匆忙打卡到真正看见”为叙事主线，将吊脚楼、石阶、窑火、古镇商贸与防空洞融入可操作的关卡。玩家通过行动体会故事，而人物成长则体现在面对相同地点时作出的不同选择中。</w:t>
      </w:r>
    </w:p>
    <w:p>
      <w:pPr>
        <w:pStyle w:val="Heading1"/>
      </w:pPr>
      <w:r>
        <w:rPr>
          <w:rFonts w:ascii="仿宋" w:hAnsi="仿宋" w:eastAsia="仿宋" w:cs="仿宋"/>
          <w:b w:val="0"/>
          <w:bCs w:val="0"/>
          <w:i w:val="0"/>
          <w:iCs w:val="0"/>
        </w:rPr>
        <w:t>二 玩法与交互创新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5040"/>
        <w:gridCol w:w="3197"/>
      </w:tblGrid>
      <w:tr>
        <w:trPr>
          <w:cantSplit/>
          <w:tblHeader/>
        </w:trPr>
        <w:tc>
          <w:tcPr>
            <w:tcW w:type="dxa" w:w="1699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章节</w:t>
            </w:r>
          </w:p>
        </w:tc>
        <w:tc>
          <w:tcPr>
            <w:tcW w:type="dxa" w:w="5040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核心玩法</w:t>
            </w:r>
          </w:p>
        </w:tc>
        <w:tc>
          <w:tcPr>
            <w:tcW w:type="dxa" w:w="3197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叙事意义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洪崖洞 迷途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躲避阿姨追逐，穿过流动人群与障碍，触碰石扣开启传送门。</w:t>
            </w:r>
          </w:p>
        </w:tc>
        <w:tc>
          <w:tcPr>
            <w:tcW w:type="dxa" w:w="31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表现主角急躁、只想赶路的初始心态。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磁器口 窑场</w:t>
            </w:r>
          </w:p>
        </w:tc>
        <w:tc>
          <w:tcPr>
            <w:tcW w:type="dxa" w:w="50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在限时压力下，通过移动判定条完成操作流程，逐步打开通路。</w:t>
            </w:r>
          </w:p>
        </w:tc>
        <w:tc>
          <w:tcPr>
            <w:tcW w:type="dxa" w:w="3197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体会劳动的难度与生存的不易。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中山古镇 送货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携带货物穿行古镇，应对途中事件，将货物状态带入交付判定。</w:t>
            </w:r>
          </w:p>
        </w:tc>
        <w:tc>
          <w:tcPr>
            <w:tcW w:type="dxa" w:w="31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将诚信与责任落实为需要承担的后果。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防空洞 护送</w:t>
            </w:r>
          </w:p>
        </w:tc>
        <w:tc>
          <w:tcPr>
            <w:tcW w:type="dxa" w:w="50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带领群众前行，利用挡板躲避逐渐加密的轰炸。</w:t>
            </w:r>
          </w:p>
        </w:tc>
        <w:tc>
          <w:tcPr>
            <w:tcW w:type="dxa" w:w="3197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从个人逃生转向对他人安全负责。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洪崖洞 归来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自由探索、阅读与交谈，选择拍照或不拍照；照片记录拍摄当天日期。</w:t>
            </w:r>
          </w:p>
        </w:tc>
        <w:tc>
          <w:tcPr>
            <w:tcW w:type="dxa" w:w="31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用相同地点中的不同选择体现人物成长。</w:t>
            </w:r>
          </w:p>
        </w:tc>
      </w:tr>
    </w:tbl>
    <w:p>
      <w:pPr>
        <w:spacing w:after="20"/>
      </w:pP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互动精灵“渝灯”的形象结合灯笼、吊脚楼屋檐与江水意象，位于画面右上方并可拖动。进入关卡后，它会主动介绍相关时代背景，并对点击、拖动做出问候反馈，将操作引导与文化介绍结合起来。</w:t>
      </w:r>
    </w:p>
    <w:p>
      <w:pPr>
        <w:pStyle w:val="Heading1"/>
      </w:pPr>
      <w:r>
        <w:rPr>
          <w:rFonts w:ascii="仿宋" w:hAnsi="仿宋" w:eastAsia="仿宋" w:cs="仿宋"/>
          <w:b w:val="0"/>
          <w:bCs w:val="0"/>
          <w:i w:val="0"/>
          <w:iCs w:val="0"/>
        </w:rPr>
        <w:t>三 AI 工具及具体分工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104"/>
        <w:gridCol w:w="3744"/>
      </w:tblGrid>
      <w:tr>
        <w:trPr>
          <w:cantSplit/>
          <w:tblHeader/>
        </w:trPr>
        <w:tc>
          <w:tcPr>
            <w:tcW w:type="dxa" w:w="2088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工具</w:t>
            </w:r>
          </w:p>
        </w:tc>
        <w:tc>
          <w:tcPr>
            <w:tcW w:type="dxa" w:w="4104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实际职责</w:t>
            </w:r>
          </w:p>
        </w:tc>
        <w:tc>
          <w:tcPr>
            <w:tcW w:type="dxa" w:w="3744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代表性成果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DeepSeek Harness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早期开发代理，参与项目框架、场景与基础玩法搭建。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Godot 原型结构、初始关卡与脚本。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OpenAI Codex</w:t>
            </w:r>
          </w:p>
        </w:tc>
        <w:tc>
          <w:tcPr>
            <w:tcW w:type="dxa" w:w="41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参与玩法设计、剧情调整、GDScript 编写、问题排查、资源接入与自动化测试。</w:t>
            </w:r>
          </w:p>
        </w:tc>
        <w:tc>
          <w:tcPr>
            <w:tcW w:type="dxa" w:w="374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五关机制迭代、对话系统、群众跟随、互动精灵、音频管理、转场与发布优化。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Codex 内置 image_gen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OpenAI 图像生成工具，根据角色参考、场景需求和风格约束生成美术，再经筛选与处理接入引擎。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主角动作素材、人物立绘、渝灯、分层背景、互动道具、剧情插画及部分漫画画面。</w:t>
            </w:r>
          </w:p>
        </w:tc>
      </w:tr>
    </w:tbl>
    <w:p>
      <w:pPr>
        <w:spacing w:after="20"/>
      </w:pP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AI 工具记录按实际使用名称披露，不对未完整记录的底层模型版本作额外声明。Godot 是游戏引擎；拆帧、透明化、转码等处理脚本属于制作工具，与生成模型的职责分别说明。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当前正式配乐及部分环境音由创作者提供，片头视频也来自创作者提供的文件；Codex 参与转码、混音、播放衔接和游戏内接入。部分警报、爆炸等声音使用有来源记录的第三方素材。这些内容不统一标注为 AI 原创生成，具体来源以素材清单与授权凭证为准。</w:t>
      </w:r>
    </w:p>
    <w:p>
      <w:pPr>
        <w:pStyle w:val="Heading1"/>
      </w:pPr>
      <w:r>
        <w:rPr>
          <w:rFonts w:ascii="仿宋" w:hAnsi="仿宋" w:eastAsia="仿宋" w:cs="仿宋"/>
          <w:b w:val="0"/>
          <w:bCs w:val="0"/>
          <w:i w:val="0"/>
          <w:iCs w:val="0"/>
        </w:rPr>
        <w:t>四 AI 参与的关键创作过程</w:t>
      </w:r>
    </w:p>
    <w:p>
      <w:pPr>
        <w:pStyle w:val="Heading2"/>
      </w:pPr>
      <w:r>
        <w:rPr>
          <w:rFonts w:ascii="仿宋" w:hAnsi="仿宋" w:eastAsia="仿宋" w:cs="仿宋"/>
          <w:b w:val="0"/>
          <w:bCs w:val="0"/>
          <w:i w:val="0"/>
          <w:iCs w:val="0"/>
        </w:rPr>
        <w:t>玩法设计与脚本实现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创作者提出体验目标，例如人群要阻挡主角、群众要随主角跨场景进入第四关、轰炸频率要逐步加快。Codex 将这些目标转化为可运行的脚本、事件判定与参数，并根据试玩反馈持续调整。AI 的贡献落实在正式关卡机制与代码中，可通过源码和提交记录核验。</w:t>
      </w:r>
    </w:p>
    <w:p>
      <w:pPr>
        <w:pStyle w:val="Heading2"/>
      </w:pPr>
      <w:r>
        <w:rPr>
          <w:rFonts w:ascii="仿宋" w:hAnsi="仿宋" w:eastAsia="仿宋" w:cs="仿宋"/>
          <w:b w:val="0"/>
          <w:bCs w:val="0"/>
          <w:i w:val="0"/>
          <w:iCs w:val="0"/>
        </w:rPr>
        <w:t>美术生成与风格控制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生成过程设置明确约束，包括角色服装与身份一致、像素密度统一、左右朝向正确、背景远中近层分离、道具透明背景与人物脚底贴地。生成图片经过拆帧、透明化、缩放、锚点校正和实机检查后，才成为正式资源。例如，渝灯采用四帧悬浮循环，主角行走采用六帧循环，背景通过分层产生视差。</w:t>
      </w:r>
    </w:p>
    <w:p>
      <w:pPr>
        <w:pStyle w:val="Heading2"/>
      </w:pPr>
      <w:r>
        <w:rPr>
          <w:rFonts w:ascii="仿宋" w:hAnsi="仿宋" w:eastAsia="仿宋" w:cs="仿宋"/>
          <w:b w:val="0"/>
          <w:bCs w:val="0"/>
          <w:i w:val="0"/>
          <w:iCs w:val="0"/>
        </w:rPr>
        <w:t>叙事组织与人机协作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AI 参与补充人物动机与事件因果，使为什么送货、为什么留下救人、传送门如何出现等问题，通过对白、插画和逐格漫画交代，并与关卡行为对应。创作者负责主题、需求、审美判断、试玩反馈和最终取舍；AI 负责大量内容生成、实现与迭代工作，形成由人确定方向、AI 执行并接受验证的协作流程。</w:t>
      </w:r>
    </w:p>
    <w:p>
      <w:pPr>
        <w:pStyle w:val="Heading1"/>
      </w:pPr>
      <w:r>
        <w:rPr>
          <w:rFonts w:ascii="仿宋" w:hAnsi="仿宋" w:eastAsia="仿宋" w:cs="仿宋"/>
          <w:b w:val="0"/>
          <w:bCs w:val="0"/>
          <w:i w:val="0"/>
          <w:iCs w:val="0"/>
        </w:rPr>
        <w:t>五 技术实现与完成度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游戏使用 Godot 场景与 GDScript 组织五关流程，包含玩家移动、NPC 交互、追逐与跟随、剧情状态、关卡重试、音频切换和结局判定。视听表现包括分层视差背景、角色动作、剧情漫画、传送门转场和爆炸临时照明。音乐、环境声与音效分别管理，使不同关卡具有相应的节奏和氛围。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项目已形成包含片头、五关主线和两种结局的 Windows 可运行 Demo。发布阶段通过审计资源、排除未使用的旧素材，将 PCK 从约 140.6 MB 缩减至 79.2 MB，并保留正式关卡与音视频内容。已有回归检查覆盖关卡切换、第四关群众跟随、片头播放、音频路由及剧情资源等环节。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项目保留美术资产清单、生成提示词、部分原始图与处理参数，另有玩法源码、开发记录、Git 提交历史、自动化测试脚本、实机截图与可下载版本，可用于展示 AI 从生成到实际接入的贡献。</w:t>
      </w:r>
    </w:p>
    <w:p>
      <w:pPr>
        <w:pStyle w:val="Heading1"/>
      </w:pPr>
      <w:r>
        <w:rPr>
          <w:rFonts w:ascii="仿宋" w:hAnsi="仿宋" w:eastAsia="仿宋" w:cs="仿宋"/>
          <w:b w:val="0"/>
          <w:bCs w:val="0"/>
          <w:i w:val="0"/>
          <w:iCs w:val="0"/>
        </w:rPr>
        <w:t>六 文化应用价值与使用规范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《洞见》尝试将重庆文化转化为可参与的体验：通过窑场操作感受劳动，通过古镇送货理解承诺，通过防空洞护送体会守望互助。作品可作为城市文化互动展示、研学体验和文旅游戏原型进一步发展。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当前版本的 AI 应用主要发生在开发与内容生产阶段。游戏运行时的追逐、跟随、轰炸与精灵讲解由脚本、状态和预设内容驱动，尚未接入大模型实时推理、自由对话或在线生成关卡。渝灯的现有讲解是按关卡触发的预设内容，不作为实时生成回答的 AI NPC 进行申报。</w:t>
      </w: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第三方素材按项目中的来源与许可记录说明；创作者提供的音乐和视频，其来源、生成平台及授权范围应以对应凭证为准。参赛材料应区分生成内容、第三方素材和人工提供内容，保持 AI 使用披露与实际版本一致。</w:t>
      </w:r>
    </w:p>
    <w:p>
      <w:pPr>
        <w:pStyle w:val="Heading1"/>
      </w:pPr>
      <w:r>
        <w:rPr>
          <w:rFonts w:ascii="仿宋" w:hAnsi="仿宋" w:eastAsia="仿宋" w:cs="仿宋"/>
          <w:b w:val="0"/>
          <w:bCs w:val="0"/>
          <w:i w:val="0"/>
          <w:iCs w:val="0"/>
        </w:rPr>
        <w:t>七 评审维度与材料对应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91"/>
        <w:gridCol w:w="6941"/>
      </w:tblGrid>
      <w:tr>
        <w:trPr>
          <w:cantSplit/>
          <w:tblHeader/>
        </w:trPr>
        <w:tc>
          <w:tcPr>
            <w:tcW w:type="dxa" w:w="2304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评分维度</w:t>
            </w:r>
          </w:p>
        </w:tc>
        <w:tc>
          <w:tcPr>
            <w:tcW w:type="dxa" w:w="691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分值</w:t>
            </w:r>
          </w:p>
        </w:tc>
        <w:tc>
          <w:tcPr>
            <w:tcW w:type="dxa" w:w="6941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作品说明与验证材料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玩法与交互创新</w:t>
            </w:r>
          </w:p>
        </w:tc>
        <w:tc>
          <w:tcPr>
            <w:tcW w:type="dxa" w:w="6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20</w:t>
            </w:r>
          </w:p>
        </w:tc>
        <w:tc>
          <w:tcPr>
            <w:tcW w:type="dxa" w:w="69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五关差异化玩法、叙事与操作对应、可拖动互动精灵；通过实机演示验证。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AI 原生程度</w:t>
            </w:r>
          </w:p>
        </w:tc>
        <w:tc>
          <w:tcPr>
            <w:tcW w:type="dxa" w:w="69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25</w:t>
            </w:r>
          </w:p>
        </w:tc>
        <w:tc>
          <w:tcPr>
            <w:tcW w:type="dxa" w:w="694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披露 AI 在内容生产和机制制作中的贡献，提供提示词、资产清单与代码记录；明确当前无运行时模型推理。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技术实现</w:t>
            </w:r>
          </w:p>
        </w:tc>
        <w:tc>
          <w:tcPr>
            <w:tcW w:type="dxa" w:w="6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20</w:t>
            </w:r>
          </w:p>
        </w:tc>
        <w:tc>
          <w:tcPr>
            <w:tcW w:type="dxa" w:w="69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Godot 场景与脚本系统、跨关跟随修复、音频路由和资源包优化；提供源码与测试记录。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完成度与可玩性</w:t>
            </w:r>
          </w:p>
        </w:tc>
        <w:tc>
          <w:tcPr>
            <w:tcW w:type="dxa" w:w="69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15</w:t>
            </w:r>
          </w:p>
        </w:tc>
        <w:tc>
          <w:tcPr>
            <w:tcW w:type="dxa" w:w="694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Windows 可运行 Demo、五关流程、重试和结局；提供完整试玩版与功能演示。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美术与体验设计</w:t>
            </w:r>
          </w:p>
        </w:tc>
        <w:tc>
          <w:tcPr>
            <w:tcW w:type="dxa" w:w="6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10</w:t>
            </w:r>
          </w:p>
        </w:tc>
        <w:tc>
          <w:tcPr>
            <w:tcW w:type="dxa" w:w="69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角色风格控制、分层背景、剧情漫画、临时照明和分章节音频。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应用价值与规范</w:t>
            </w:r>
          </w:p>
        </w:tc>
        <w:tc>
          <w:tcPr>
            <w:tcW w:type="dxa" w:w="69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10</w:t>
            </w:r>
          </w:p>
        </w:tc>
        <w:tc>
          <w:tcPr>
            <w:tcW w:type="dxa" w:w="694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仿宋" w:hAnsi="仿宋" w:eastAsia="仿宋" w:cs="仿宋"/>
                <w:sz w:val="20"/>
                <w:b w:val="0"/>
                <w:bCs w:val="0"/>
                <w:i w:val="0"/>
                <w:iCs w:val="0"/>
              </w:rPr>
              <w:t>重庆文化互动表达、研学与文旅应用潜力；提供素材来源、授权与 AI 使用说明。</w:t>
            </w:r>
          </w:p>
        </w:tc>
      </w:tr>
    </w:tbl>
    <w:p>
      <w:pPr>
        <w:spacing w:after="20"/>
      </w:pPr>
    </w:p>
    <w:p>
      <w:r>
        <w:rPr>
          <w:rFonts w:ascii="仿宋" w:hAnsi="仿宋" w:eastAsia="仿宋" w:cs="仿宋"/>
          <w:b w:val="0"/>
          <w:bCs w:val="0"/>
          <w:i w:val="0"/>
          <w:iCs w:val="0"/>
        </w:rPr>
        <w:t>项目源码：https://github.com/yuanbenkun-cloud/cs2</w:t>
        <w:br/>
        <w:t>试玩发布页：https://github.com/yuanbenkun-cloud/cs2/releases/tag/v1.0.0-demo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eastAsia="仿宋" w:cs="仿宋"/>
        <w:b w:val="0"/>
        <w:bCs w:val="0"/>
        <w:i w:val="0"/>
        <w:iCs w:val="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eastAsia="仿宋" w:cs="仿宋"/>
        <w:b w:val="0"/>
        <w:bCs w:val="0"/>
        <w:i w:val="0"/>
        <w:iCs w:val="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eastAsia="仿宋" w:cs="仿宋"/>
        <w:b w:val="0"/>
        <w:bCs w:val="0"/>
        <w:i w:val="0"/>
        <w:iCs w:val="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eastAsia="仿宋" w:cs="仿宋"/>
        <w:b w:val="0"/>
        <w:bCs w:val="0"/>
        <w:i w:val="0"/>
        <w:iCs w:val="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" w:hAnsi="仿宋" w:eastAsia="仿宋" w:cs="仿宋"/>
        <w:sz w:val="22"/>
        <w:szCs w:val="22"/>
        <w:lang w:val="en-US" w:eastAsia="en-US" w:bidi="ar-SA"/>
        <w:b w:val="0"/>
        <w:bCs w:val="0"/>
        <w:i w:val="0"/>
        <w:i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0" w:lineRule="auto"/>
    </w:pPr>
    <w:rPr>
      <w:rFonts w:ascii="仿宋" w:hAnsi="仿宋" w:eastAsia="仿宋" w:cs="仿宋"/>
      <w:color w:val="000000"/>
      <w:sz w:val="22"/>
      <w:b w:val="0"/>
      <w:bCs w:val="0"/>
      <w:i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仿宋" w:hAnsi="仿宋" w:eastAsia="仿宋" w:cs="仿宋"/>
      <w:b w:val="0"/>
      <w:bCs w:val="0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仿宋" w:hAnsi="仿宋" w:eastAsia="仿宋" w:cs="仿宋"/>
      <w:b w:val="0"/>
      <w:bCs w:val="0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="仿宋" w:hAnsi="仿宋" w:eastAsia="仿宋" w:cs="仿宋"/>
      <w:color w:val="000000"/>
      <w:sz w:val="30"/>
      <w:szCs w:val="28"/>
      <w:b w:val="0"/>
      <w:bCs w:val="0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="仿宋" w:hAnsi="仿宋" w:eastAsia="仿宋" w:cs="仿宋"/>
      <w:color w:val="000000"/>
      <w:sz w:val="24"/>
      <w:szCs w:val="26"/>
      <w:b w:val="0"/>
      <w:bCs w:val="0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仿宋" w:hAnsi="仿宋" w:eastAsia="仿宋" w:cs="仿宋"/>
      <w:color w:val="4F81BD" w:themeColor="accent1"/>
      <w:b w:val="0"/>
      <w:bCs w:val="0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仿宋" w:hAnsi="仿宋" w:eastAsia="仿宋" w:cs="仿宋"/>
      <w:color w:val="4F81BD" w:themeColor="accent1"/>
      <w:b w:val="0"/>
      <w:bCs w:val="0"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仿宋" w:hAnsi="仿宋" w:eastAsia="仿宋" w:cs="仿宋"/>
      <w:color w:val="243F60" w:themeColor="accent1" w:themeShade="7F"/>
      <w:b w:val="0"/>
      <w:bCs w:val="0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仿宋" w:hAnsi="仿宋" w:eastAsia="仿宋" w:cs="仿宋"/>
      <w:color w:val="243F60" w:themeColor="accent1" w:themeShade="7F"/>
      <w:b w:val="0"/>
      <w:bCs w:val="0"/>
      <w:i w:val="0"/>
      <w:iC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仿宋" w:hAnsi="仿宋" w:eastAsia="仿宋" w:cs="仿宋"/>
      <w:color w:val="404040" w:themeColor="text1" w:themeTint="BF"/>
      <w:b w:val="0"/>
      <w:bCs w:val="0"/>
      <w:i w:val="0"/>
      <w:iCs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仿宋" w:hAnsi="仿宋" w:eastAsia="仿宋" w:cs="仿宋"/>
      <w:color w:val="4F81BD" w:themeColor="accent1"/>
      <w:sz w:val="20"/>
      <w:szCs w:val="20"/>
      <w:b w:val="0"/>
      <w:bCs w:val="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仿宋" w:hAnsi="仿宋" w:eastAsia="仿宋" w:cs="仿宋"/>
      <w:color w:val="404040" w:themeColor="text1" w:themeTint="BF"/>
      <w:sz w:val="20"/>
      <w:szCs w:val="20"/>
      <w:b w:val="0"/>
      <w:bCs w:val="0"/>
      <w:i w:val="0"/>
      <w:iCs w:val="0"/>
    </w:rPr>
  </w:style>
  <w:style w:type="character" w:default="1" w:styleId="DefaultParagraphFont">
    <w:name w:val="Default Paragraph Font"/>
    <w:uiPriority w:val="1"/>
    <w:semiHidden/>
    <w:unhideWhenUsed/>
    <w:rPr>
      <w:rFonts w:ascii="仿宋" w:hAnsi="仿宋" w:eastAsia="仿宋" w:cs="仿宋"/>
      <w:b w:val="0"/>
      <w:bCs w:val="0"/>
      <w:i w:val="0"/>
      <w:iCs w:val="0"/>
    </w:rPr>
  </w:style>
  <w:style w:type="table" w:default="1" w:styleId="TableNormal">
    <w:name w:val="Normal Table"/>
    <w:uiPriority w:val="99"/>
    <w:semiHidden/>
    <w:unhideWhenUsed/>
    <w:rPr>
      <w:rFonts w:ascii="仿宋" w:hAnsi="仿宋" w:eastAsia="仿宋" w:cs="仿宋"/>
      <w:b w:val="0"/>
      <w:bCs w:val="0"/>
      <w:i w:val="0"/>
      <w:iCs w:val="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仿宋" w:hAnsi="仿宋" w:eastAsia="仿宋" w:cs="仿宋"/>
      <w:b w:val="0"/>
      <w:bCs w:val="0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仿宋" w:hAnsi="仿宋" w:eastAsia="仿宋" w:cs="仿宋"/>
      <w:color w:val="365F91" w:themeColor="accent1" w:themeShade="BF"/>
      <w:sz w:val="28"/>
      <w:szCs w:val="28"/>
      <w:b w:val="0"/>
      <w:bCs w:val="0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仿宋" w:hAnsi="仿宋" w:eastAsia="仿宋" w:cs="仿宋"/>
      <w:color w:val="4F81BD" w:themeColor="accent1"/>
      <w:sz w:val="26"/>
      <w:szCs w:val="26"/>
      <w:b w:val="0"/>
      <w:bCs w:val="0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仿宋" w:hAnsi="仿宋" w:eastAsia="仿宋" w:cs="仿宋"/>
      <w:color w:val="4F81BD" w:themeColor="accent1"/>
      <w:b w:val="0"/>
      <w:bCs w:val="0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00" w:lineRule="auto"/>
      <w:contextualSpacing/>
    </w:pPr>
    <w:rPr>
      <w:rFonts w:ascii="仿宋" w:hAnsi="仿宋" w:eastAsia="仿宋" w:cs="仿宋"/>
      <w:color w:val="000000"/>
      <w:spacing w:val="5"/>
      <w:kern w:val="28"/>
      <w:sz w:val="46"/>
      <w:szCs w:val="52"/>
      <w:b w:val="0"/>
      <w:bCs w:val="0"/>
      <w:i w:val="0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仿宋" w:hAnsi="仿宋" w:eastAsia="仿宋" w:cs="仿宋"/>
      <w:color w:val="17365D" w:themeColor="text2" w:themeShade="BF"/>
      <w:spacing w:val="5"/>
      <w:kern w:val="28"/>
      <w:sz w:val="52"/>
      <w:szCs w:val="52"/>
      <w:b w:val="0"/>
      <w:bCs w:val="0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00" w:lineRule="auto"/>
    </w:pPr>
    <w:rPr>
      <w:rFonts w:ascii="仿宋" w:hAnsi="仿宋" w:eastAsia="仿宋" w:cs="仿宋"/>
      <w:color w:val="000000"/>
      <w:spacing w:val="15"/>
      <w:sz w:val="24"/>
      <w:szCs w:val="24"/>
      <w:b w:val="0"/>
      <w:bCs w:val="0"/>
      <w:i w:val="0"/>
      <w:i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仿宋" w:hAnsi="仿宋" w:eastAsia="仿宋" w:cs="仿宋"/>
      <w:color w:val="4F81BD" w:themeColor="accent1"/>
      <w:spacing w:val="15"/>
      <w:sz w:val="24"/>
      <w:szCs w:val="24"/>
      <w:b w:val="0"/>
      <w:bCs w:val="0"/>
      <w:i w:val="0"/>
      <w:i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仿宋" w:hAnsi="仿宋" w:eastAsia="仿宋" w:cs="仿宋"/>
      <w:b w:val="0"/>
      <w:bCs w:val="0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仿宋" w:hAnsi="仿宋" w:eastAsia="仿宋" w:cs="仿宋"/>
      <w:b w:val="0"/>
      <w:bCs w:val="0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仿宋" w:hAnsi="仿宋" w:eastAsia="仿宋" w:cs="仿宋"/>
      <w:b w:val="0"/>
      <w:bCs w:val="0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仿宋" w:hAnsi="仿宋" w:eastAsia="仿宋" w:cs="仿宋"/>
      <w:b w:val="0"/>
      <w:bCs w:val="0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/>
      <w:sz w:val="16"/>
      <w:szCs w:val="16"/>
      <w:b w:val="0"/>
      <w:bCs w:val="0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/>
      <w:sz w:val="16"/>
      <w:szCs w:val="16"/>
      <w:b w:val="0"/>
      <w:bCs w:val="0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仿宋" w:hAnsi="仿宋" w:eastAsia="仿宋" w:cs="仿宋"/>
      <w:b w:val="0"/>
      <w:bCs w:val="0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/>
      <w:sz w:val="20"/>
      <w:szCs w:val="20"/>
      <w:b w:val="0"/>
      <w:bCs w:val="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/>
      <w:sz w:val="20"/>
      <w:szCs w:val="20"/>
      <w:b w:val="0"/>
      <w:bCs w:val="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/>
      <w:color w:val="000000" w:themeColor="text1"/>
      <w:b w:val="0"/>
      <w:bCs w:val="0"/>
      <w:i w:val="0"/>
      <w:iCs w:val="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/>
      <w:color w:val="000000" w:themeColor="text1"/>
      <w:b w:val="0"/>
      <w:bCs w:val="0"/>
      <w:i w:val="0"/>
      <w:iCs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仿宋" w:hAnsi="仿宋" w:eastAsia="仿宋" w:cs="仿宋"/>
      <w:color w:val="4F81BD" w:themeColor="accent1"/>
      <w:b w:val="0"/>
      <w:bCs w:val="0"/>
      <w:i w:val="0"/>
      <w:i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仿宋" w:hAnsi="仿宋" w:eastAsia="仿宋" w:cs="仿宋"/>
      <w:color w:val="243F60" w:themeColor="accent1" w:themeShade="7F"/>
      <w:b w:val="0"/>
      <w:bCs w:val="0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仿宋" w:hAnsi="仿宋" w:eastAsia="仿宋" w:cs="仿宋"/>
      <w:color w:val="243F60" w:themeColor="accent1" w:themeShade="7F"/>
      <w:b w:val="0"/>
      <w:bCs w:val="0"/>
      <w:i w:val="0"/>
      <w:iCs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仿宋" w:hAnsi="仿宋" w:eastAsia="仿宋" w:cs="仿宋"/>
      <w:color w:val="404040" w:themeColor="text1" w:themeTint="BF"/>
      <w:b w:val="0"/>
      <w:bCs w:val="0"/>
      <w:i w:val="0"/>
      <w:iCs w:val="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仿宋" w:hAnsi="仿宋" w:eastAsia="仿宋" w:cs="仿宋"/>
      <w:color w:val="4F81BD" w:themeColor="accent1"/>
      <w:sz w:val="20"/>
      <w:szCs w:val="20"/>
      <w:b w:val="0"/>
      <w:bCs w:val="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仿宋" w:hAnsi="仿宋" w:eastAsia="仿宋" w:cs="仿宋"/>
      <w:color w:val="404040" w:themeColor="text1" w:themeTint="BF"/>
      <w:sz w:val="20"/>
      <w:szCs w:val="20"/>
      <w:b w:val="0"/>
      <w:bCs w:val="0"/>
      <w:i w:val="0"/>
      <w:iCs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/>
      <w:color w:val="4F81BD" w:themeColor="accent1"/>
      <w:sz w:val="18"/>
      <w:szCs w:val="18"/>
      <w:b w:val="0"/>
      <w:bCs w:val="0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/>
      <w:b w:val="0"/>
      <w:bCs w:val="0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/>
      <w:b w:val="0"/>
      <w:bCs w:val="0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/>
      <w:color w:val="4F81BD" w:themeColor="accent1"/>
      <w:b w:val="0"/>
      <w:bCs w:val="0"/>
      <w:i w:val="0"/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/>
      <w:color w:val="4F81BD" w:themeColor="accent1"/>
      <w:b w:val="0"/>
      <w:bCs w:val="0"/>
      <w:i w:val="0"/>
      <w:iCs w:val="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/>
      <w:color w:val="808080" w:themeColor="text1" w:themeTint="7F"/>
      <w:b w:val="0"/>
      <w:bCs w:val="0"/>
      <w:i w:val="0"/>
      <w:iCs w:val="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/>
      <w:color w:val="4F81BD" w:themeColor="accent1"/>
      <w:b w:val="0"/>
      <w:bCs w:val="0"/>
      <w:i w:val="0"/>
      <w:iCs w:val="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/>
      <w:smallCaps/>
      <w:color w:val="C0504D" w:themeColor="accent2"/>
      <w:u w:val="single"/>
      <w:b w:val="0"/>
      <w:bCs w:val="0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/>
      <w:smallCaps/>
      <w:color w:val="C0504D" w:themeColor="accent2"/>
      <w:spacing w:val="5"/>
      <w:u w:val="single"/>
      <w:b w:val="0"/>
      <w:bCs w:val="0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/>
      <w:smallCaps/>
      <w:spacing w:val="5"/>
      <w:b w:val="0"/>
      <w:bCs w:val="0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仿宋" w:hAnsi="仿宋" w:eastAsia="仿宋" w:cs="仿宋"/>
      <w:b w:val="0"/>
      <w:bCs w:val="0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/>
      <w:color w:val="000000" w:themeColor="text1" w:themeShade="BF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/>
      <w:color w:val="365F91" w:themeColor="accent1" w:themeShade="BF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/>
      <w:color w:val="943634" w:themeColor="accent2" w:themeShade="BF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/>
      <w:color w:val="76923C" w:themeColor="accent3" w:themeShade="BF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/>
      <w:color w:val="5F497A" w:themeColor="accent4" w:themeShade="BF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/>
      <w:color w:val="31849B" w:themeColor="accent5" w:themeShade="BF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/>
      <w:color w:val="E36C0A" w:themeColor="accent6" w:themeShade="BF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color w:val="auto"/>
        <w:b w:val="0"/>
        <w:bCs w:val="0"/>
        <w:i w:val="0"/>
        <w:iCs w:val="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color w:val="auto"/>
        <w:b w:val="0"/>
        <w:bCs w:val="0"/>
        <w:i w:val="0"/>
        <w:iCs w:val="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color w:val="auto"/>
        <w:b w:val="0"/>
        <w:bCs w:val="0"/>
        <w:i w:val="0"/>
        <w:iCs w:val="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color w:val="auto"/>
        <w:b w:val="0"/>
        <w:bCs w:val="0"/>
        <w:i w:val="0"/>
        <w:iCs w:val="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color w:val="auto"/>
        <w:b w:val="0"/>
        <w:bCs w:val="0"/>
        <w:i w:val="0"/>
        <w:iCs w:val="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color w:val="auto"/>
        <w:b w:val="0"/>
        <w:bCs w:val="0"/>
        <w:i w:val="0"/>
        <w:iCs w:val="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/>
        <w:color w:val="auto"/>
        <w:b w:val="0"/>
        <w:bCs w:val="0"/>
        <w:i w:val="0"/>
        <w:iCs w:val="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/>
        <w:color w:val="1F497D" w:themeColor="text2"/>
        <w:b w:val="0"/>
        <w:bCs w:val="0"/>
        <w:i w:val="0"/>
        <w:iCs w:val="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/>
        <w:color w:val="1F497D" w:themeColor="text2"/>
        <w:b w:val="0"/>
        <w:bCs w:val="0"/>
        <w:i w:val="0"/>
        <w:iCs w:val="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/>
        <w:color w:val="1F497D" w:themeColor="text2"/>
        <w:b w:val="0"/>
        <w:bCs w:val="0"/>
        <w:i w:val="0"/>
        <w:iCs w:val="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/>
        <w:color w:val="1F497D" w:themeColor="text2"/>
        <w:b w:val="0"/>
        <w:bCs w:val="0"/>
        <w:i w:val="0"/>
        <w:iCs w:val="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/>
        <w:color w:val="1F497D" w:themeColor="text2"/>
        <w:b w:val="0"/>
        <w:bCs w:val="0"/>
        <w:i w:val="0"/>
        <w:iCs w:val="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/>
        <w:color w:val="1F497D" w:themeColor="text2"/>
        <w:b w:val="0"/>
        <w:bCs w:val="0"/>
        <w:i w:val="0"/>
        <w:iCs w:val="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/>
        <w:color w:val="1F497D" w:themeColor="text2"/>
        <w:b w:val="0"/>
        <w:bCs w:val="0"/>
        <w:i w:val="0"/>
        <w:iCs w:val="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sz w:val="24"/>
        <w:szCs w:val="24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sz w:val="24"/>
        <w:szCs w:val="24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sz w:val="24"/>
        <w:szCs w:val="24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sz w:val="24"/>
        <w:szCs w:val="24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sz w:val="24"/>
        <w:szCs w:val="24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sz w:val="24"/>
        <w:szCs w:val="24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/>
        <w:sz w:val="24"/>
        <w:szCs w:val="24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</w:tblStylePr>
    <w:tblStylePr w:type="la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</w:tblStylePr>
    <w:tblStylePr w:type="la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</w:tblStylePr>
    <w:tblStylePr w:type="la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</w:tblStylePr>
    <w:tblStylePr w:type="la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</w:tblStylePr>
    <w:tblStylePr w:type="la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</w:tblStylePr>
    <w:tblStylePr w:type="la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</w:tblStylePr>
    <w:tblStylePr w:type="la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仿宋" w:hAnsi="仿宋" w:eastAsia="仿宋" w:cs="仿宋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/>
      <w:color w:val="FFFFFF" w:themeColor="background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/>
      <w:color w:val="FFFFFF" w:themeColor="background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/>
      <w:color w:val="FFFFFF" w:themeColor="background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/>
      <w:color w:val="FFFFFF" w:themeColor="background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/>
      <w:color w:val="FFFFFF" w:themeColor="background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/>
      <w:color w:val="FFFFFF" w:themeColor="background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/>
      <w:color w:val="FFFFFF" w:themeColor="background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  <w:tblStylePr w:type="nw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  <w:tblStylePr w:type="nw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  <w:tblStylePr w:type="nw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  <w:tblStylePr w:type="nw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  <w:tblStylePr w:type="nw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  <w:tblStylePr w:type="nwCell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/>
        <w:color w:val="9E3A38" w:themeColor="accent2" w:themeShade="CC"/>
        <w:b w:val="0"/>
        <w:bCs w:val="0"/>
        <w:i w:val="0"/>
        <w:iCs w:val="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/>
        <w:color w:val="9E3A38" w:themeColor="accent2" w:themeShade="CC"/>
        <w:b w:val="0"/>
        <w:bCs w:val="0"/>
        <w:i w:val="0"/>
        <w:iCs w:val="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/>
        <w:color w:val="9E3A38" w:themeColor="accent2" w:themeShade="CC"/>
        <w:b w:val="0"/>
        <w:bCs w:val="0"/>
        <w:i w:val="0"/>
        <w:iCs w:val="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/>
        <w:color w:val="664E82" w:themeColor="accent4" w:themeShade="CC"/>
        <w:b w:val="0"/>
        <w:bCs w:val="0"/>
        <w:i w:val="0"/>
        <w:iCs w:val="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/>
        <w:color w:val="7E9C40" w:themeColor="accent3" w:themeShade="CC"/>
        <w:b w:val="0"/>
        <w:bCs w:val="0"/>
        <w:i w:val="0"/>
        <w:iCs w:val="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/>
        <w:color w:val="F2730A" w:themeColor="accent6" w:themeShade="CC"/>
        <w:b w:val="0"/>
        <w:bCs w:val="0"/>
        <w:i w:val="0"/>
        <w:iCs w:val="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/>
        <w:color w:val="348DA5" w:themeColor="accent5" w:themeShade="CC"/>
        <w:b w:val="0"/>
        <w:bCs w:val="0"/>
        <w:i w:val="0"/>
        <w:iCs w:val="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/>
        <w:b w:val="0"/>
        <w:bCs w:val="0"/>
        <w:i w:val="0"/>
        <w:iCs w:val="0"/>
      </w:rPr>
    </w:tblStylePr>
    <w:tblStylePr w:type="lastCol">
      <w:rPr>
        <w:rFonts w:ascii="仿宋" w:hAnsi="仿宋" w:eastAsia="仿宋" w:cs="仿宋"/>
        <w:b w:val="0"/>
        <w:bCs w:val="0"/>
        <w:i w:val="0"/>
        <w:i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/>
      <w:color w:val="000000" w:themeColor="text1"/>
      <w:b w:val="0"/>
      <w:bCs w:val="0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/>
        <w:b w:val="0"/>
        <w:bCs w:val="0"/>
        <w:i w:val="0"/>
        <w:iCs w:val="0"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/>
        <w:color w:val="000000" w:themeColor="text1"/>
        <w:b w:val="0"/>
        <w:bCs w:val="0"/>
        <w:i w:val="0"/>
        <w:iCs w:val="0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/>
        <w:color w:val="FFFFFF" w:themeColor="background1"/>
        <w:b w:val="0"/>
        <w:bCs w:val="0"/>
        <w:i w:val="0"/>
        <w:iCs w:val="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洞见游戏说明及 AI 应用说明</dc:title>
  <dc:subject>AI 游戏电竞赛道参赛作品说明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