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E83" w:rsidRPr="003F7CED" w:rsidRDefault="00325E83" w:rsidP="00325E83">
      <w:pPr>
        <w:spacing w:after="120" w:line="240" w:lineRule="auto"/>
        <w:jc w:val="both"/>
        <w:rPr>
          <w:rFonts w:ascii="Times New Roman" w:hAnsi="Times New Roman" w:cs="Times New Roman"/>
          <w:b/>
          <w:sz w:val="20"/>
          <w:szCs w:val="20"/>
        </w:rPr>
      </w:pPr>
      <w:r>
        <w:rPr>
          <w:rFonts w:ascii="Times New Roman" w:hAnsi="Times New Roman" w:cs="Times New Roman"/>
          <w:b/>
          <w:sz w:val="20"/>
          <w:szCs w:val="20"/>
        </w:rPr>
        <w:t>Study Population</w:t>
      </w:r>
    </w:p>
    <w:p w:rsidR="00F32DEB" w:rsidRDefault="00325E83" w:rsidP="00325E83">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All adult patients (age at visit &gt;18) hospitalized for at least 2 days at a tertiary care, academic hospital (University of Kansas </w:t>
      </w:r>
      <w:r w:rsidR="003021EC">
        <w:rPr>
          <w:rFonts w:ascii="Times New Roman" w:hAnsi="Times New Roman" w:cs="Times New Roman"/>
          <w:sz w:val="20"/>
          <w:szCs w:val="20"/>
        </w:rPr>
        <w:t>Health System – KUH</w:t>
      </w:r>
      <w:r>
        <w:rPr>
          <w:rFonts w:ascii="Times New Roman" w:hAnsi="Times New Roman" w:cs="Times New Roman"/>
          <w:sz w:val="20"/>
          <w:szCs w:val="20"/>
        </w:rPr>
        <w:t>) from November 2007 to December 2016 were included in the observational cohort study</w:t>
      </w:r>
      <w:r w:rsidR="003021EC">
        <w:rPr>
          <w:rFonts w:ascii="Times New Roman" w:hAnsi="Times New Roman" w:cs="Times New Roman"/>
          <w:sz w:val="20"/>
          <w:szCs w:val="20"/>
        </w:rPr>
        <w:t xml:space="preserve"> (</w:t>
      </w:r>
      <w:r w:rsidR="003021EC" w:rsidRPr="00C03070">
        <w:rPr>
          <w:rFonts w:ascii="Times New Roman" w:hAnsi="Times New Roman" w:cs="Times New Roman"/>
          <w:i/>
          <w:sz w:val="20"/>
          <w:szCs w:val="20"/>
        </w:rPr>
        <w:t>n</w:t>
      </w:r>
      <w:r w:rsidR="003021EC" w:rsidRPr="00C03070">
        <w:rPr>
          <w:rFonts w:ascii="Times New Roman" w:hAnsi="Times New Roman" w:cs="Times New Roman"/>
          <w:sz w:val="20"/>
          <w:szCs w:val="20"/>
        </w:rPr>
        <w:t xml:space="preserve"> = </w:t>
      </w:r>
      <w:r w:rsidR="00C41037">
        <w:rPr>
          <w:rFonts w:ascii="Times New Roman" w:hAnsi="Times New Roman" w:cs="Times New Roman"/>
          <w:sz w:val="20"/>
          <w:szCs w:val="20"/>
        </w:rPr>
        <w:t>96,590</w:t>
      </w:r>
      <w:r w:rsidR="00F32DEB">
        <w:rPr>
          <w:rFonts w:ascii="Times New Roman" w:hAnsi="Times New Roman" w:cs="Times New Roman"/>
          <w:sz w:val="20"/>
          <w:szCs w:val="20"/>
        </w:rPr>
        <w:t xml:space="preserve"> patients</w:t>
      </w:r>
      <w:r w:rsidR="003021EC">
        <w:rPr>
          <w:rFonts w:ascii="Times New Roman" w:hAnsi="Times New Roman" w:cs="Times New Roman"/>
          <w:sz w:val="20"/>
          <w:szCs w:val="20"/>
        </w:rPr>
        <w:t>)</w:t>
      </w:r>
      <w:r>
        <w:rPr>
          <w:rFonts w:ascii="Times New Roman" w:hAnsi="Times New Roman" w:cs="Times New Roman"/>
          <w:sz w:val="20"/>
          <w:szCs w:val="20"/>
        </w:rPr>
        <w:t>.</w:t>
      </w:r>
      <w:r w:rsidR="00DC2F62">
        <w:rPr>
          <w:rFonts w:ascii="Times New Roman" w:hAnsi="Times New Roman" w:cs="Times New Roman"/>
          <w:sz w:val="20"/>
          <w:szCs w:val="20"/>
        </w:rPr>
        <w:t xml:space="preserve"> </w:t>
      </w:r>
      <w:r w:rsidR="00DC2F62" w:rsidRPr="003F7CED">
        <w:rPr>
          <w:rFonts w:ascii="Times New Roman" w:hAnsi="Times New Roman" w:cs="Times New Roman"/>
          <w:sz w:val="20"/>
          <w:szCs w:val="20"/>
        </w:rPr>
        <w:t>Given that a patient may have multiple admissions (encounters)</w:t>
      </w:r>
      <w:r w:rsidR="00DC2F62">
        <w:rPr>
          <w:rFonts w:ascii="Times New Roman" w:hAnsi="Times New Roman" w:cs="Times New Roman"/>
          <w:sz w:val="20"/>
          <w:szCs w:val="20"/>
        </w:rPr>
        <w:t xml:space="preserve"> </w:t>
      </w:r>
      <w:r w:rsidR="00DC2F62" w:rsidRPr="003F7CED">
        <w:rPr>
          <w:rFonts w:ascii="Times New Roman" w:hAnsi="Times New Roman" w:cs="Times New Roman"/>
          <w:sz w:val="20"/>
          <w:szCs w:val="20"/>
        </w:rPr>
        <w:t xml:space="preserve">of at least 2 days and develop AKI during one but not another, this study is conducted at the encounter level with </w:t>
      </w:r>
      <w:r w:rsidR="00DC2F62">
        <w:rPr>
          <w:rFonts w:ascii="Times New Roman" w:hAnsi="Times New Roman" w:cs="Times New Roman"/>
          <w:sz w:val="20"/>
          <w:szCs w:val="20"/>
        </w:rPr>
        <w:t>a</w:t>
      </w:r>
      <w:r w:rsidR="00DC2F62" w:rsidRPr="003F7CED">
        <w:rPr>
          <w:rFonts w:ascii="Times New Roman" w:hAnsi="Times New Roman" w:cs="Times New Roman"/>
          <w:sz w:val="20"/>
          <w:szCs w:val="20"/>
        </w:rPr>
        <w:t xml:space="preserve"> total</w:t>
      </w:r>
      <w:r w:rsidR="00DC2F62">
        <w:rPr>
          <w:rFonts w:ascii="Times New Roman" w:hAnsi="Times New Roman" w:cs="Times New Roman"/>
          <w:sz w:val="20"/>
          <w:szCs w:val="20"/>
        </w:rPr>
        <w:t xml:space="preserve"> </w:t>
      </w:r>
      <w:r w:rsidR="00A83A58">
        <w:rPr>
          <w:rFonts w:ascii="Times New Roman" w:hAnsi="Times New Roman" w:cs="Times New Roman"/>
          <w:sz w:val="20"/>
          <w:szCs w:val="20"/>
        </w:rPr>
        <w:t>of</w:t>
      </w:r>
      <w:r w:rsidR="00DC2F62">
        <w:rPr>
          <w:rFonts w:ascii="Times New Roman" w:hAnsi="Times New Roman" w:cs="Times New Roman"/>
          <w:sz w:val="20"/>
          <w:szCs w:val="20"/>
        </w:rPr>
        <w:t xml:space="preserve"> 179,370 encounters.</w:t>
      </w:r>
      <w:r w:rsidR="002B20D0">
        <w:rPr>
          <w:rFonts w:ascii="Times New Roman" w:hAnsi="Times New Roman" w:cs="Times New Roman"/>
          <w:sz w:val="20"/>
          <w:szCs w:val="20"/>
        </w:rPr>
        <w:t xml:space="preserve"> </w:t>
      </w:r>
      <w:r w:rsidR="00A83A58">
        <w:rPr>
          <w:rFonts w:ascii="Times New Roman" w:hAnsi="Times New Roman" w:cs="Times New Roman"/>
          <w:sz w:val="20"/>
          <w:szCs w:val="20"/>
        </w:rPr>
        <w:t>From the 179,370 encounters, we excluded those (a</w:t>
      </w:r>
      <w:r w:rsidR="00A83A58" w:rsidRPr="003F7CED">
        <w:rPr>
          <w:rFonts w:ascii="Times New Roman" w:hAnsi="Times New Roman" w:cs="Times New Roman"/>
          <w:sz w:val="20"/>
          <w:szCs w:val="20"/>
        </w:rPr>
        <w:t>) missing necessary d</w:t>
      </w:r>
      <w:r w:rsidR="00A83A58">
        <w:rPr>
          <w:rFonts w:ascii="Times New Roman" w:hAnsi="Times New Roman" w:cs="Times New Roman"/>
          <w:sz w:val="20"/>
          <w:szCs w:val="20"/>
        </w:rPr>
        <w:t xml:space="preserve">ata for outcome determination, i.e. </w:t>
      </w:r>
      <w:r w:rsidR="00A83A58" w:rsidRPr="003F7CED">
        <w:rPr>
          <w:rFonts w:ascii="Times New Roman" w:hAnsi="Times New Roman" w:cs="Times New Roman"/>
          <w:sz w:val="20"/>
          <w:szCs w:val="20"/>
        </w:rPr>
        <w:t>less than two serum creatinine measurements</w:t>
      </w:r>
      <w:r w:rsidR="00A83A58">
        <w:rPr>
          <w:rFonts w:ascii="Times New Roman" w:hAnsi="Times New Roman" w:cs="Times New Roman"/>
          <w:sz w:val="20"/>
          <w:szCs w:val="20"/>
        </w:rPr>
        <w:t xml:space="preserve"> </w:t>
      </w:r>
      <w:r w:rsidR="00A83A58" w:rsidRPr="003F7CED">
        <w:rPr>
          <w:rFonts w:ascii="Times New Roman" w:hAnsi="Times New Roman" w:cs="Times New Roman"/>
          <w:sz w:val="20"/>
          <w:szCs w:val="20"/>
        </w:rPr>
        <w:t>and</w:t>
      </w:r>
      <w:r w:rsidR="00A83A58">
        <w:rPr>
          <w:rFonts w:ascii="Times New Roman" w:hAnsi="Times New Roman" w:cs="Times New Roman"/>
          <w:sz w:val="20"/>
          <w:szCs w:val="20"/>
        </w:rPr>
        <w:t xml:space="preserve"> </w:t>
      </w:r>
      <w:r w:rsidR="00A83A58" w:rsidRPr="003F7CED">
        <w:rPr>
          <w:rFonts w:ascii="Times New Roman" w:hAnsi="Times New Roman" w:cs="Times New Roman"/>
          <w:sz w:val="20"/>
          <w:szCs w:val="20"/>
        </w:rPr>
        <w:t>(b) had evidence of moderate or severe kidney dysfu</w:t>
      </w:r>
      <w:r w:rsidR="00A83A58">
        <w:rPr>
          <w:rFonts w:ascii="Times New Roman" w:hAnsi="Times New Roman" w:cs="Times New Roman"/>
          <w:sz w:val="20"/>
          <w:szCs w:val="20"/>
        </w:rPr>
        <w:t xml:space="preserve">nction, i.e. </w:t>
      </w:r>
      <w:r w:rsidR="00A83A58">
        <w:rPr>
          <w:rFonts w:ascii="Times New Roman" w:hAnsi="Times New Roman" w:cs="Times New Roman"/>
          <w:sz w:val="20"/>
          <w:szCs w:val="20"/>
        </w:rPr>
        <w:t>estimated Glomerular Filtration Rate (</w:t>
      </w:r>
      <w:proofErr w:type="spellStart"/>
      <w:r w:rsidR="00A83A58" w:rsidRPr="003F7CED">
        <w:rPr>
          <w:rFonts w:ascii="Times New Roman" w:hAnsi="Times New Roman" w:cs="Times New Roman"/>
          <w:sz w:val="20"/>
          <w:szCs w:val="20"/>
        </w:rPr>
        <w:t>eGFR</w:t>
      </w:r>
      <w:proofErr w:type="spellEnd"/>
      <w:r w:rsidR="00A83A58">
        <w:rPr>
          <w:rFonts w:ascii="Times New Roman" w:hAnsi="Times New Roman" w:cs="Times New Roman"/>
          <w:sz w:val="20"/>
          <w:szCs w:val="20"/>
        </w:rPr>
        <w:t>)</w:t>
      </w:r>
      <w:r w:rsidR="00A83A58" w:rsidRPr="003F7CED">
        <w:rPr>
          <w:rFonts w:ascii="Times New Roman" w:hAnsi="Times New Roman" w:cs="Times New Roman"/>
          <w:sz w:val="20"/>
          <w:szCs w:val="20"/>
        </w:rPr>
        <w:t xml:space="preserve"> less than 60 mL/min/1.73 m</w:t>
      </w:r>
      <w:r w:rsidR="00A83A58" w:rsidRPr="003F7CED">
        <w:rPr>
          <w:rFonts w:ascii="Times New Roman" w:hAnsi="Times New Roman" w:cs="Times New Roman"/>
          <w:sz w:val="20"/>
          <w:szCs w:val="20"/>
          <w:vertAlign w:val="superscript"/>
        </w:rPr>
        <w:t>2</w:t>
      </w:r>
      <w:r w:rsidR="00A83A58" w:rsidRPr="003F7CED">
        <w:rPr>
          <w:rFonts w:ascii="Times New Roman" w:hAnsi="Times New Roman" w:cs="Times New Roman"/>
          <w:sz w:val="20"/>
          <w:szCs w:val="20"/>
        </w:rPr>
        <w:t xml:space="preserve"> or abnormal serum creatinine (</w:t>
      </w:r>
      <w:proofErr w:type="spellStart"/>
      <w:r w:rsidR="00A83A58" w:rsidRPr="003F7CED">
        <w:rPr>
          <w:rFonts w:ascii="Times New Roman" w:hAnsi="Times New Roman" w:cs="Times New Roman"/>
          <w:sz w:val="20"/>
          <w:szCs w:val="20"/>
        </w:rPr>
        <w:t>SCr</w:t>
      </w:r>
      <w:proofErr w:type="spellEnd"/>
      <w:r w:rsidR="00A83A58" w:rsidRPr="003F7CED">
        <w:rPr>
          <w:rFonts w:ascii="Times New Roman" w:hAnsi="Times New Roman" w:cs="Times New Roman"/>
          <w:sz w:val="20"/>
          <w:szCs w:val="20"/>
        </w:rPr>
        <w:t>) level of &gt;1.3 mg/</w:t>
      </w:r>
      <w:proofErr w:type="spellStart"/>
      <w:r w:rsidR="00A83A58" w:rsidRPr="003F7CED">
        <w:rPr>
          <w:rFonts w:ascii="Times New Roman" w:hAnsi="Times New Roman" w:cs="Times New Roman"/>
          <w:sz w:val="20"/>
          <w:szCs w:val="20"/>
        </w:rPr>
        <w:t>dL</w:t>
      </w:r>
      <w:proofErr w:type="spellEnd"/>
      <w:r w:rsidR="00A83A58">
        <w:rPr>
          <w:rFonts w:ascii="Times New Roman" w:hAnsi="Times New Roman" w:cs="Times New Roman"/>
          <w:sz w:val="20"/>
          <w:szCs w:val="20"/>
        </w:rPr>
        <w:t xml:space="preserve"> </w:t>
      </w:r>
      <w:r w:rsidR="00A83A58" w:rsidRPr="003F7CED">
        <w:rPr>
          <w:rFonts w:ascii="Times New Roman" w:hAnsi="Times New Roman" w:cs="Times New Roman"/>
          <w:sz w:val="20"/>
          <w:szCs w:val="20"/>
        </w:rPr>
        <w:t>within</w:t>
      </w:r>
      <w:r w:rsidR="00A83A58">
        <w:rPr>
          <w:rFonts w:ascii="Times New Roman" w:hAnsi="Times New Roman" w:cs="Times New Roman"/>
          <w:sz w:val="20"/>
          <w:szCs w:val="20"/>
        </w:rPr>
        <w:t xml:space="preserve"> </w:t>
      </w:r>
      <w:r w:rsidR="00A83A58" w:rsidRPr="003F7CED">
        <w:rPr>
          <w:rFonts w:ascii="Times New Roman" w:hAnsi="Times New Roman" w:cs="Times New Roman"/>
          <w:sz w:val="20"/>
          <w:szCs w:val="20"/>
        </w:rPr>
        <w:t>24 hours of hospital admission.</w:t>
      </w:r>
      <w:r w:rsidR="00477F87">
        <w:rPr>
          <w:rFonts w:ascii="Times New Roman" w:hAnsi="Times New Roman" w:cs="Times New Roman"/>
          <w:sz w:val="20"/>
          <w:szCs w:val="20"/>
        </w:rPr>
        <w:t xml:space="preserve"> A summary of </w:t>
      </w:r>
      <w:r w:rsidR="00FC7FF7">
        <w:rPr>
          <w:rFonts w:ascii="Times New Roman" w:hAnsi="Times New Roman" w:cs="Times New Roman"/>
          <w:sz w:val="20"/>
          <w:szCs w:val="20"/>
        </w:rPr>
        <w:t>patient</w:t>
      </w:r>
      <w:r w:rsidR="005E5CF8">
        <w:rPr>
          <w:rFonts w:ascii="Times New Roman" w:hAnsi="Times New Roman" w:cs="Times New Roman"/>
          <w:sz w:val="20"/>
          <w:szCs w:val="20"/>
        </w:rPr>
        <w:t xml:space="preserve"> </w:t>
      </w:r>
      <w:r w:rsidR="00477F87">
        <w:rPr>
          <w:rFonts w:ascii="Times New Roman" w:hAnsi="Times New Roman" w:cs="Times New Roman"/>
          <w:sz w:val="20"/>
          <w:szCs w:val="20"/>
        </w:rPr>
        <w:t xml:space="preserve">encounter exclusions is shown in Figure 1. </w:t>
      </w:r>
      <w:r w:rsidR="00A83A58" w:rsidRPr="003F7CED">
        <w:rPr>
          <w:rFonts w:ascii="Times New Roman" w:hAnsi="Times New Roman" w:cs="Times New Roman"/>
          <w:sz w:val="20"/>
          <w:szCs w:val="20"/>
        </w:rPr>
        <w:t xml:space="preserve">The final analysis cohort consisted of </w:t>
      </w:r>
      <w:r w:rsidR="00A83A58">
        <w:rPr>
          <w:rFonts w:ascii="Times New Roman" w:hAnsi="Times New Roman" w:cs="Times New Roman"/>
          <w:sz w:val="20"/>
          <w:szCs w:val="20"/>
        </w:rPr>
        <w:t>76,957 encounters</w:t>
      </w:r>
      <w:r w:rsidR="00A83A58" w:rsidRPr="003F7CED">
        <w:rPr>
          <w:rFonts w:ascii="Times New Roman" w:hAnsi="Times New Roman" w:cs="Times New Roman"/>
          <w:sz w:val="20"/>
          <w:szCs w:val="20"/>
        </w:rPr>
        <w:t>.</w:t>
      </w:r>
    </w:p>
    <w:p w:rsidR="00DD2856" w:rsidRDefault="00DD2856" w:rsidP="0049724A">
      <w:pPr>
        <w:spacing w:after="12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466841" cy="2391508"/>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exclusion_summary.png"/>
                    <pic:cNvPicPr/>
                  </pic:nvPicPr>
                  <pic:blipFill rotWithShape="1">
                    <a:blip r:embed="rId6">
                      <a:extLst>
                        <a:ext uri="{28A0092B-C50C-407E-A947-70E740481C1C}">
                          <a14:useLocalDpi xmlns:a14="http://schemas.microsoft.com/office/drawing/2010/main" val="0"/>
                        </a:ext>
                      </a:extLst>
                    </a:blip>
                    <a:srcRect l="13916" t="11440" r="27712" b="34871"/>
                    <a:stretch/>
                  </pic:blipFill>
                  <pic:spPr bwMode="auto">
                    <a:xfrm>
                      <a:off x="0" y="0"/>
                      <a:ext cx="3469417" cy="2393285"/>
                    </a:xfrm>
                    <a:prstGeom prst="rect">
                      <a:avLst/>
                    </a:prstGeom>
                    <a:ln>
                      <a:noFill/>
                    </a:ln>
                    <a:extLst>
                      <a:ext uri="{53640926-AAD7-44D8-BBD7-CCE9431645EC}">
                        <a14:shadowObscured xmlns:a14="http://schemas.microsoft.com/office/drawing/2010/main"/>
                      </a:ext>
                    </a:extLst>
                  </pic:spPr>
                </pic:pic>
              </a:graphicData>
            </a:graphic>
          </wp:inline>
        </w:drawing>
      </w:r>
    </w:p>
    <w:p w:rsidR="00F32DEB" w:rsidRDefault="0049724A" w:rsidP="0049724A">
      <w:pPr>
        <w:spacing w:after="120" w:line="240" w:lineRule="auto"/>
        <w:jc w:val="center"/>
        <w:rPr>
          <w:rFonts w:ascii="Times New Roman" w:hAnsi="Times New Roman" w:cs="Times New Roman"/>
          <w:sz w:val="20"/>
          <w:szCs w:val="20"/>
        </w:rPr>
      </w:pPr>
      <w:proofErr w:type="gramStart"/>
      <w:r w:rsidRPr="0049724A">
        <w:rPr>
          <w:rFonts w:ascii="Times New Roman" w:hAnsi="Times New Roman" w:cs="Times New Roman"/>
          <w:b/>
          <w:sz w:val="20"/>
          <w:szCs w:val="20"/>
        </w:rPr>
        <w:t>Figure 1</w:t>
      </w:r>
      <w:r>
        <w:rPr>
          <w:rFonts w:ascii="Times New Roman" w:hAnsi="Times New Roman" w:cs="Times New Roman"/>
          <w:sz w:val="20"/>
          <w:szCs w:val="20"/>
        </w:rPr>
        <w:t>.</w:t>
      </w:r>
      <w:proofErr w:type="gramEnd"/>
      <w:r>
        <w:rPr>
          <w:rFonts w:ascii="Times New Roman" w:hAnsi="Times New Roman" w:cs="Times New Roman"/>
          <w:sz w:val="20"/>
          <w:szCs w:val="20"/>
        </w:rPr>
        <w:t xml:space="preserve"> Summary of the study cohort after each step of exclusion</w:t>
      </w:r>
    </w:p>
    <w:p w:rsidR="00325E83" w:rsidRDefault="00DD2856" w:rsidP="005648E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Then f</w:t>
      </w:r>
      <w:r w:rsidR="002B20D0">
        <w:rPr>
          <w:rFonts w:ascii="Times New Roman" w:hAnsi="Times New Roman" w:cs="Times New Roman"/>
          <w:sz w:val="20"/>
          <w:szCs w:val="20"/>
        </w:rPr>
        <w:t>or each encounter,</w:t>
      </w:r>
      <w:r w:rsidR="003021EC">
        <w:rPr>
          <w:rFonts w:ascii="Times New Roman" w:hAnsi="Times New Roman" w:cs="Times New Roman"/>
          <w:sz w:val="20"/>
          <w:szCs w:val="20"/>
        </w:rPr>
        <w:t xml:space="preserve"> KUH’s de-identified clinical data repository HERON (Health Enterprise Repository for Ontological Narration)</w:t>
      </w:r>
      <w:r w:rsidR="00CF41AC">
        <w:rPr>
          <w:rFonts w:ascii="Times New Roman" w:hAnsi="Times New Roman" w:cs="Times New Roman"/>
          <w:sz w:val="20"/>
          <w:szCs w:val="20"/>
        </w:rPr>
        <w:t xml:space="preserve"> </w:t>
      </w:r>
      <w:r w:rsidR="003021EC" w:rsidRPr="00CF41AC">
        <w:rPr>
          <w:rFonts w:ascii="Times New Roman" w:hAnsi="Times New Roman" w:cs="Times New Roman"/>
          <w:sz w:val="20"/>
          <w:szCs w:val="20"/>
          <w:highlight w:val="cyan"/>
        </w:rPr>
        <w:t>[cite</w:t>
      </w:r>
      <w:r w:rsidR="005648E1">
        <w:rPr>
          <w:rFonts w:ascii="Times New Roman" w:hAnsi="Times New Roman" w:cs="Times New Roman"/>
          <w:sz w:val="20"/>
          <w:szCs w:val="20"/>
          <w:highlight w:val="cyan"/>
        </w:rPr>
        <w:t>1</w:t>
      </w:r>
      <w:r w:rsidR="003021EC" w:rsidRPr="00CF41AC">
        <w:rPr>
          <w:rFonts w:ascii="Times New Roman" w:hAnsi="Times New Roman" w:cs="Times New Roman"/>
          <w:sz w:val="20"/>
          <w:szCs w:val="20"/>
          <w:highlight w:val="cyan"/>
        </w:rPr>
        <w:t>]</w:t>
      </w:r>
      <w:r w:rsidR="003021EC">
        <w:rPr>
          <w:rFonts w:ascii="Times New Roman" w:hAnsi="Times New Roman" w:cs="Times New Roman"/>
          <w:sz w:val="20"/>
          <w:szCs w:val="20"/>
        </w:rPr>
        <w:t xml:space="preserve"> was queried to obtain structured data corresponding to </w:t>
      </w:r>
      <w:r w:rsidR="002B20D0">
        <w:rPr>
          <w:rFonts w:ascii="Times New Roman" w:hAnsi="Times New Roman" w:cs="Times New Roman"/>
          <w:sz w:val="20"/>
          <w:szCs w:val="20"/>
        </w:rPr>
        <w:t>the encounter</w:t>
      </w:r>
      <w:r w:rsidR="003021EC">
        <w:rPr>
          <w:rFonts w:ascii="Times New Roman" w:hAnsi="Times New Roman" w:cs="Times New Roman"/>
          <w:sz w:val="20"/>
          <w:szCs w:val="20"/>
        </w:rPr>
        <w:t xml:space="preserve">. HERON integrates </w:t>
      </w:r>
      <w:r w:rsidR="00CF41AC">
        <w:rPr>
          <w:rFonts w:ascii="Times New Roman" w:hAnsi="Times New Roman" w:cs="Times New Roman"/>
          <w:sz w:val="20"/>
          <w:szCs w:val="20"/>
        </w:rPr>
        <w:t xml:space="preserve">data from </w:t>
      </w:r>
      <w:r w:rsidR="003021EC">
        <w:rPr>
          <w:rFonts w:ascii="Times New Roman" w:hAnsi="Times New Roman" w:cs="Times New Roman"/>
          <w:sz w:val="20"/>
          <w:szCs w:val="20"/>
        </w:rPr>
        <w:t>KUH’s electronic health records (EHR), billing, clinical regist</w:t>
      </w:r>
      <w:r w:rsidR="00CF41AC">
        <w:rPr>
          <w:rFonts w:ascii="Times New Roman" w:hAnsi="Times New Roman" w:cs="Times New Roman"/>
          <w:sz w:val="20"/>
          <w:szCs w:val="20"/>
        </w:rPr>
        <w:t>ries, and national data sources. The structured data extracted included demographic information, admission and discharge dates, medications, laboratory values, comorbidities, and admission diagnosis.</w:t>
      </w:r>
    </w:p>
    <w:p w:rsidR="005648E1" w:rsidRDefault="005648E1" w:rsidP="005648E1">
      <w:pPr>
        <w:spacing w:after="0" w:line="240" w:lineRule="auto"/>
        <w:jc w:val="both"/>
        <w:rPr>
          <w:rFonts w:ascii="Times New Roman" w:hAnsi="Times New Roman" w:cs="Times New Roman"/>
          <w:sz w:val="20"/>
          <w:szCs w:val="20"/>
        </w:rPr>
      </w:pPr>
    </w:p>
    <w:p w:rsidR="00325E83" w:rsidRPr="003F7CED" w:rsidRDefault="00325E83" w:rsidP="00325E83">
      <w:pPr>
        <w:spacing w:after="120" w:line="240" w:lineRule="auto"/>
        <w:jc w:val="both"/>
        <w:rPr>
          <w:rFonts w:ascii="Times New Roman" w:hAnsi="Times New Roman" w:cs="Times New Roman"/>
          <w:b/>
          <w:sz w:val="20"/>
          <w:szCs w:val="20"/>
        </w:rPr>
      </w:pPr>
      <w:r w:rsidRPr="003F7CED">
        <w:rPr>
          <w:rFonts w:ascii="Times New Roman" w:hAnsi="Times New Roman" w:cs="Times New Roman"/>
          <w:b/>
          <w:sz w:val="20"/>
          <w:szCs w:val="20"/>
        </w:rPr>
        <w:t xml:space="preserve">AKI </w:t>
      </w:r>
      <w:r w:rsidR="005648E1">
        <w:rPr>
          <w:rFonts w:ascii="Times New Roman" w:hAnsi="Times New Roman" w:cs="Times New Roman"/>
          <w:b/>
          <w:sz w:val="20"/>
          <w:szCs w:val="20"/>
        </w:rPr>
        <w:t xml:space="preserve">and </w:t>
      </w:r>
      <w:proofErr w:type="spellStart"/>
      <w:r w:rsidR="005648E1">
        <w:rPr>
          <w:rFonts w:ascii="Times New Roman" w:hAnsi="Times New Roman" w:cs="Times New Roman"/>
          <w:b/>
          <w:sz w:val="20"/>
          <w:szCs w:val="20"/>
        </w:rPr>
        <w:t>Baesline</w:t>
      </w:r>
      <w:proofErr w:type="spellEnd"/>
      <w:r w:rsidR="005648E1">
        <w:rPr>
          <w:rFonts w:ascii="Times New Roman" w:hAnsi="Times New Roman" w:cs="Times New Roman"/>
          <w:b/>
          <w:sz w:val="20"/>
          <w:szCs w:val="20"/>
        </w:rPr>
        <w:t xml:space="preserve"> Creatinine </w:t>
      </w:r>
      <w:r w:rsidRPr="003F7CED">
        <w:rPr>
          <w:rFonts w:ascii="Times New Roman" w:hAnsi="Times New Roman" w:cs="Times New Roman"/>
          <w:b/>
          <w:sz w:val="20"/>
          <w:szCs w:val="20"/>
        </w:rPr>
        <w:t>Definition</w:t>
      </w:r>
    </w:p>
    <w:p w:rsidR="00783B96" w:rsidRDefault="00325E83" w:rsidP="00783B96">
      <w:pPr>
        <w:spacing w:after="120" w:line="240" w:lineRule="auto"/>
        <w:jc w:val="both"/>
        <w:rPr>
          <w:rFonts w:ascii="Times New Roman" w:hAnsi="Times New Roman" w:cs="Times New Roman"/>
          <w:sz w:val="20"/>
          <w:szCs w:val="20"/>
        </w:rPr>
      </w:pPr>
      <w:r w:rsidRPr="00554E1E">
        <w:rPr>
          <w:rFonts w:ascii="Times New Roman" w:hAnsi="Times New Roman" w:cs="Times New Roman"/>
          <w:sz w:val="20"/>
          <w:szCs w:val="20"/>
        </w:rPr>
        <w:t xml:space="preserve">AKI was defined </w:t>
      </w:r>
      <w:r w:rsidR="005648E1">
        <w:rPr>
          <w:rFonts w:ascii="Times New Roman" w:hAnsi="Times New Roman" w:cs="Times New Roman"/>
          <w:sz w:val="20"/>
          <w:szCs w:val="20"/>
        </w:rPr>
        <w:t>according to</w:t>
      </w:r>
      <w:r w:rsidRPr="00554E1E">
        <w:rPr>
          <w:rFonts w:ascii="Times New Roman" w:hAnsi="Times New Roman" w:cs="Times New Roman"/>
          <w:sz w:val="20"/>
          <w:szCs w:val="20"/>
        </w:rPr>
        <w:t xml:space="preserve"> the Kidney Disease Improving Global Outcomes (KDIGO)</w:t>
      </w:r>
      <w:r w:rsidR="005648E1">
        <w:rPr>
          <w:rFonts w:ascii="Times New Roman" w:hAnsi="Times New Roman" w:cs="Times New Roman"/>
          <w:sz w:val="20"/>
          <w:szCs w:val="20"/>
        </w:rPr>
        <w:t xml:space="preserve"> criteria </w:t>
      </w:r>
      <w:r w:rsidR="005648E1" w:rsidRPr="005648E1">
        <w:rPr>
          <w:rFonts w:ascii="Times New Roman" w:hAnsi="Times New Roman" w:cs="Times New Roman"/>
          <w:sz w:val="20"/>
          <w:szCs w:val="20"/>
          <w:highlight w:val="cyan"/>
        </w:rPr>
        <w:t>[cite</w:t>
      </w:r>
      <w:r w:rsidR="005648E1">
        <w:rPr>
          <w:rFonts w:ascii="Times New Roman" w:hAnsi="Times New Roman" w:cs="Times New Roman"/>
          <w:sz w:val="20"/>
          <w:szCs w:val="20"/>
          <w:highlight w:val="cyan"/>
        </w:rPr>
        <w:t>2</w:t>
      </w:r>
      <w:r w:rsidR="005648E1" w:rsidRPr="005648E1">
        <w:rPr>
          <w:rFonts w:ascii="Times New Roman" w:hAnsi="Times New Roman" w:cs="Times New Roman"/>
          <w:sz w:val="20"/>
          <w:szCs w:val="20"/>
          <w:highlight w:val="cyan"/>
        </w:rPr>
        <w:t>]</w:t>
      </w:r>
      <w:r w:rsidR="00783B96">
        <w:rPr>
          <w:rFonts w:ascii="Times New Roman" w:hAnsi="Times New Roman" w:cs="Times New Roman"/>
          <w:sz w:val="20"/>
          <w:szCs w:val="20"/>
        </w:rPr>
        <w:t xml:space="preserve"> as described in Table 1.</w:t>
      </w:r>
    </w:p>
    <w:p w:rsidR="001209A1" w:rsidRDefault="001209A1" w:rsidP="001209A1">
      <w:pPr>
        <w:spacing w:after="120" w:line="240" w:lineRule="auto"/>
        <w:jc w:val="center"/>
        <w:rPr>
          <w:rFonts w:ascii="Times New Roman" w:hAnsi="Times New Roman" w:cs="Times New Roman"/>
          <w:sz w:val="20"/>
          <w:szCs w:val="20"/>
        </w:rPr>
      </w:pPr>
      <w:proofErr w:type="gramStart"/>
      <w:r w:rsidRPr="00783B96">
        <w:rPr>
          <w:rFonts w:ascii="Times New Roman" w:hAnsi="Times New Roman" w:cs="Times New Roman"/>
          <w:b/>
          <w:sz w:val="20"/>
          <w:szCs w:val="20"/>
        </w:rPr>
        <w:t>Table 1</w:t>
      </w:r>
      <w:r>
        <w:rPr>
          <w:rFonts w:ascii="Times New Roman" w:hAnsi="Times New Roman" w:cs="Times New Roman"/>
          <w:sz w:val="20"/>
          <w:szCs w:val="20"/>
        </w:rPr>
        <w:t>.</w:t>
      </w:r>
      <w:proofErr w:type="gramEnd"/>
      <w:r>
        <w:rPr>
          <w:rFonts w:ascii="Times New Roman" w:hAnsi="Times New Roman" w:cs="Times New Roman"/>
          <w:sz w:val="20"/>
          <w:szCs w:val="20"/>
        </w:rPr>
        <w:t xml:space="preserve"> The KDIGO staging system for AKI</w:t>
      </w:r>
    </w:p>
    <w:tbl>
      <w:tblPr>
        <w:tblStyle w:val="TableGrid"/>
        <w:tblW w:w="6948" w:type="dxa"/>
        <w:jc w:val="center"/>
        <w:tblLook w:val="04A0" w:firstRow="1" w:lastRow="0" w:firstColumn="1" w:lastColumn="0" w:noHBand="0" w:noVBand="1"/>
      </w:tblPr>
      <w:tblGrid>
        <w:gridCol w:w="1458"/>
        <w:gridCol w:w="5490"/>
      </w:tblGrid>
      <w:tr w:rsidR="001209A1" w:rsidRPr="001209A1" w:rsidTr="001209A1">
        <w:trPr>
          <w:jc w:val="center"/>
        </w:trPr>
        <w:tc>
          <w:tcPr>
            <w:tcW w:w="1458" w:type="dxa"/>
          </w:tcPr>
          <w:p w:rsidR="001209A1" w:rsidRPr="001209A1" w:rsidRDefault="001209A1" w:rsidP="001209A1">
            <w:pPr>
              <w:spacing w:after="40"/>
              <w:jc w:val="center"/>
              <w:rPr>
                <w:rFonts w:ascii="Times New Roman" w:hAnsi="Times New Roman" w:cs="Times New Roman"/>
                <w:b/>
                <w:sz w:val="20"/>
              </w:rPr>
            </w:pPr>
            <w:r w:rsidRPr="001209A1">
              <w:rPr>
                <w:rFonts w:ascii="Times New Roman" w:hAnsi="Times New Roman" w:cs="Times New Roman"/>
                <w:b/>
                <w:sz w:val="20"/>
              </w:rPr>
              <w:t>AKI Stage</w:t>
            </w:r>
          </w:p>
        </w:tc>
        <w:tc>
          <w:tcPr>
            <w:tcW w:w="5490" w:type="dxa"/>
          </w:tcPr>
          <w:p w:rsidR="001209A1" w:rsidRPr="001209A1" w:rsidRDefault="001209A1" w:rsidP="001209A1">
            <w:pPr>
              <w:spacing w:after="40"/>
              <w:rPr>
                <w:rFonts w:ascii="Times New Roman" w:hAnsi="Times New Roman" w:cs="Times New Roman"/>
                <w:b/>
                <w:sz w:val="20"/>
              </w:rPr>
            </w:pPr>
            <w:r w:rsidRPr="001209A1">
              <w:rPr>
                <w:rFonts w:ascii="Times New Roman" w:hAnsi="Times New Roman" w:cs="Times New Roman"/>
                <w:b/>
                <w:sz w:val="20"/>
              </w:rPr>
              <w:t>Serum Creatinine</w:t>
            </w:r>
            <w:r w:rsidR="00C21229">
              <w:rPr>
                <w:rFonts w:ascii="Times New Roman" w:hAnsi="Times New Roman" w:cs="Times New Roman"/>
                <w:b/>
                <w:sz w:val="20"/>
              </w:rPr>
              <w:t xml:space="preserve"> (</w:t>
            </w:r>
            <w:proofErr w:type="spellStart"/>
            <w:r w:rsidR="00C21229">
              <w:rPr>
                <w:rFonts w:ascii="Times New Roman" w:hAnsi="Times New Roman" w:cs="Times New Roman"/>
                <w:b/>
                <w:sz w:val="20"/>
              </w:rPr>
              <w:t>SCr</w:t>
            </w:r>
            <w:proofErr w:type="spellEnd"/>
            <w:r w:rsidR="00C21229">
              <w:rPr>
                <w:rFonts w:ascii="Times New Roman" w:hAnsi="Times New Roman" w:cs="Times New Roman"/>
                <w:b/>
                <w:sz w:val="20"/>
              </w:rPr>
              <w:t>)</w:t>
            </w:r>
            <w:r w:rsidRPr="001209A1">
              <w:rPr>
                <w:rFonts w:ascii="Times New Roman" w:hAnsi="Times New Roman" w:cs="Times New Roman"/>
                <w:b/>
                <w:sz w:val="20"/>
              </w:rPr>
              <w:t xml:space="preserve"> Criteria</w:t>
            </w:r>
          </w:p>
        </w:tc>
      </w:tr>
      <w:tr w:rsidR="001209A1" w:rsidTr="001209A1">
        <w:trPr>
          <w:jc w:val="center"/>
        </w:trPr>
        <w:tc>
          <w:tcPr>
            <w:tcW w:w="1458" w:type="dxa"/>
          </w:tcPr>
          <w:p w:rsidR="001209A1" w:rsidRPr="00783B96" w:rsidRDefault="001209A1" w:rsidP="001209A1">
            <w:pPr>
              <w:spacing w:after="40"/>
              <w:jc w:val="center"/>
              <w:rPr>
                <w:rFonts w:ascii="Times New Roman" w:hAnsi="Times New Roman" w:cs="Times New Roman"/>
                <w:b/>
                <w:sz w:val="20"/>
              </w:rPr>
            </w:pPr>
            <w:r w:rsidRPr="00783B96">
              <w:rPr>
                <w:rFonts w:ascii="Times New Roman" w:hAnsi="Times New Roman" w:cs="Times New Roman"/>
                <w:sz w:val="20"/>
              </w:rPr>
              <w:t>1</w:t>
            </w:r>
          </w:p>
        </w:tc>
        <w:tc>
          <w:tcPr>
            <w:tcW w:w="5490" w:type="dxa"/>
          </w:tcPr>
          <w:p w:rsidR="001209A1" w:rsidRPr="00783B96" w:rsidRDefault="001209A1" w:rsidP="001209A1">
            <w:pPr>
              <w:spacing w:after="40"/>
              <w:rPr>
                <w:rFonts w:ascii="Times New Roman" w:hAnsi="Times New Roman" w:cs="Times New Roman"/>
                <w:sz w:val="20"/>
              </w:rPr>
            </w:pPr>
            <w:r w:rsidRPr="00783B96">
              <w:rPr>
                <w:rFonts w:ascii="Times New Roman" w:hAnsi="Times New Roman" w:cs="Times New Roman"/>
                <w:sz w:val="20"/>
              </w:rPr>
              <w:t>Increase &gt;26.4 µ</w:t>
            </w:r>
            <w:proofErr w:type="spellStart"/>
            <w:r w:rsidRPr="00783B96">
              <w:rPr>
                <w:rFonts w:ascii="Times New Roman" w:hAnsi="Times New Roman" w:cs="Times New Roman"/>
                <w:sz w:val="20"/>
              </w:rPr>
              <w:t>mol</w:t>
            </w:r>
            <w:proofErr w:type="spellEnd"/>
            <w:r w:rsidRPr="00783B96">
              <w:rPr>
                <w:rFonts w:ascii="Times New Roman" w:hAnsi="Times New Roman" w:cs="Times New Roman"/>
                <w:sz w:val="20"/>
              </w:rPr>
              <w:t>/L (0.3 mg/</w:t>
            </w:r>
            <w:proofErr w:type="spellStart"/>
            <w:r w:rsidRPr="00783B96">
              <w:rPr>
                <w:rFonts w:ascii="Times New Roman" w:hAnsi="Times New Roman" w:cs="Times New Roman"/>
                <w:sz w:val="20"/>
              </w:rPr>
              <w:t>dL</w:t>
            </w:r>
            <w:proofErr w:type="spellEnd"/>
            <w:r w:rsidRPr="00783B96">
              <w:rPr>
                <w:rFonts w:ascii="Times New Roman" w:hAnsi="Times New Roman" w:cs="Times New Roman"/>
                <w:sz w:val="20"/>
              </w:rPr>
              <w:t>) or 1.5-1.9 times baseline</w:t>
            </w:r>
          </w:p>
        </w:tc>
      </w:tr>
      <w:tr w:rsidR="001209A1" w:rsidTr="001209A1">
        <w:trPr>
          <w:jc w:val="center"/>
        </w:trPr>
        <w:tc>
          <w:tcPr>
            <w:tcW w:w="1458" w:type="dxa"/>
          </w:tcPr>
          <w:p w:rsidR="001209A1" w:rsidRPr="00783B96" w:rsidRDefault="001209A1" w:rsidP="001209A1">
            <w:pPr>
              <w:spacing w:after="40"/>
              <w:jc w:val="center"/>
              <w:rPr>
                <w:rFonts w:ascii="Times New Roman" w:hAnsi="Times New Roman" w:cs="Times New Roman"/>
                <w:b/>
                <w:sz w:val="20"/>
              </w:rPr>
            </w:pPr>
            <w:r w:rsidRPr="00783B96">
              <w:rPr>
                <w:rFonts w:ascii="Times New Roman" w:hAnsi="Times New Roman" w:cs="Times New Roman"/>
                <w:sz w:val="20"/>
              </w:rPr>
              <w:t>2</w:t>
            </w:r>
          </w:p>
        </w:tc>
        <w:tc>
          <w:tcPr>
            <w:tcW w:w="5490" w:type="dxa"/>
          </w:tcPr>
          <w:p w:rsidR="001209A1" w:rsidRPr="00783B96" w:rsidRDefault="001209A1" w:rsidP="001209A1">
            <w:pPr>
              <w:spacing w:after="40"/>
              <w:rPr>
                <w:rFonts w:ascii="Times New Roman" w:hAnsi="Times New Roman" w:cs="Times New Roman"/>
                <w:sz w:val="20"/>
              </w:rPr>
            </w:pPr>
            <w:r w:rsidRPr="00783B96">
              <w:rPr>
                <w:rFonts w:ascii="Times New Roman" w:hAnsi="Times New Roman" w:cs="Times New Roman"/>
                <w:sz w:val="20"/>
              </w:rPr>
              <w:t>Increase 2.0-2.9 times baseline</w:t>
            </w:r>
          </w:p>
        </w:tc>
      </w:tr>
      <w:tr w:rsidR="001209A1" w:rsidTr="001209A1">
        <w:trPr>
          <w:jc w:val="center"/>
        </w:trPr>
        <w:tc>
          <w:tcPr>
            <w:tcW w:w="1458" w:type="dxa"/>
          </w:tcPr>
          <w:p w:rsidR="001209A1" w:rsidRPr="00783B96" w:rsidRDefault="001209A1" w:rsidP="001209A1">
            <w:pPr>
              <w:spacing w:after="40"/>
              <w:jc w:val="center"/>
              <w:rPr>
                <w:rFonts w:ascii="Times New Roman" w:hAnsi="Times New Roman" w:cs="Times New Roman"/>
                <w:b/>
                <w:sz w:val="20"/>
              </w:rPr>
            </w:pPr>
            <w:r w:rsidRPr="00783B96">
              <w:rPr>
                <w:rFonts w:ascii="Times New Roman" w:hAnsi="Times New Roman" w:cs="Times New Roman"/>
                <w:sz w:val="20"/>
              </w:rPr>
              <w:t>3</w:t>
            </w:r>
          </w:p>
        </w:tc>
        <w:tc>
          <w:tcPr>
            <w:tcW w:w="5490" w:type="dxa"/>
          </w:tcPr>
          <w:p w:rsidR="001209A1" w:rsidRPr="00783B96" w:rsidRDefault="001209A1" w:rsidP="001209A1">
            <w:pPr>
              <w:spacing w:after="40"/>
              <w:rPr>
                <w:rFonts w:ascii="Times New Roman" w:hAnsi="Times New Roman" w:cs="Times New Roman"/>
                <w:sz w:val="20"/>
              </w:rPr>
            </w:pPr>
            <w:r w:rsidRPr="00783B96">
              <w:rPr>
                <w:rFonts w:ascii="Times New Roman" w:hAnsi="Times New Roman" w:cs="Times New Roman"/>
                <w:sz w:val="20"/>
              </w:rPr>
              <w:t>Increase creatinine &gt;354 µ</w:t>
            </w:r>
            <w:proofErr w:type="spellStart"/>
            <w:r w:rsidRPr="00783B96">
              <w:rPr>
                <w:rFonts w:ascii="Times New Roman" w:hAnsi="Times New Roman" w:cs="Times New Roman"/>
                <w:sz w:val="20"/>
              </w:rPr>
              <w:t>mol</w:t>
            </w:r>
            <w:proofErr w:type="spellEnd"/>
            <w:r w:rsidRPr="00783B96">
              <w:rPr>
                <w:rFonts w:ascii="Times New Roman" w:hAnsi="Times New Roman" w:cs="Times New Roman"/>
                <w:sz w:val="20"/>
              </w:rPr>
              <w:t>/L (4.0 mg/</w:t>
            </w:r>
            <w:proofErr w:type="spellStart"/>
            <w:r w:rsidRPr="00783B96">
              <w:rPr>
                <w:rFonts w:ascii="Times New Roman" w:hAnsi="Times New Roman" w:cs="Times New Roman"/>
                <w:sz w:val="20"/>
              </w:rPr>
              <w:t>dL</w:t>
            </w:r>
            <w:proofErr w:type="spellEnd"/>
            <w:r w:rsidRPr="00783B96">
              <w:rPr>
                <w:rFonts w:ascii="Times New Roman" w:hAnsi="Times New Roman" w:cs="Times New Roman"/>
                <w:sz w:val="20"/>
              </w:rPr>
              <w:t>) or 3 times baseline</w:t>
            </w:r>
          </w:p>
        </w:tc>
      </w:tr>
    </w:tbl>
    <w:p w:rsidR="00783B96" w:rsidRDefault="00783B96" w:rsidP="001209A1">
      <w:pPr>
        <w:spacing w:after="0" w:line="240" w:lineRule="auto"/>
        <w:rPr>
          <w:rFonts w:ascii="Times New Roman" w:hAnsi="Times New Roman" w:cs="Times New Roman"/>
          <w:sz w:val="20"/>
          <w:szCs w:val="20"/>
        </w:rPr>
      </w:pPr>
    </w:p>
    <w:p w:rsidR="00325E83" w:rsidRDefault="00C21229" w:rsidP="00D6418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B</w:t>
      </w:r>
      <w:r w:rsidR="00325E83" w:rsidRPr="007A1BC5">
        <w:rPr>
          <w:rFonts w:ascii="Times New Roman" w:hAnsi="Times New Roman" w:cs="Times New Roman"/>
          <w:sz w:val="20"/>
          <w:szCs w:val="20"/>
        </w:rPr>
        <w:t>aseline</w:t>
      </w:r>
      <w:r>
        <w:rPr>
          <w:rFonts w:ascii="Times New Roman" w:hAnsi="Times New Roman" w:cs="Times New Roman"/>
          <w:sz w:val="20"/>
          <w:szCs w:val="20"/>
        </w:rPr>
        <w:t xml:space="preserve"> </w:t>
      </w:r>
      <w:proofErr w:type="spellStart"/>
      <w:r>
        <w:rPr>
          <w:rFonts w:ascii="Times New Roman" w:hAnsi="Times New Roman" w:cs="Times New Roman"/>
          <w:sz w:val="20"/>
          <w:szCs w:val="20"/>
        </w:rPr>
        <w:t>SCr</w:t>
      </w:r>
      <w:proofErr w:type="spellEnd"/>
      <w:r w:rsidR="00325E83" w:rsidRPr="007A1BC5">
        <w:rPr>
          <w:rFonts w:ascii="Times New Roman" w:hAnsi="Times New Roman" w:cs="Times New Roman"/>
          <w:sz w:val="20"/>
          <w:szCs w:val="20"/>
        </w:rPr>
        <w:t xml:space="preserve"> level was </w:t>
      </w:r>
      <w:r>
        <w:rPr>
          <w:rFonts w:ascii="Times New Roman" w:hAnsi="Times New Roman" w:cs="Times New Roman"/>
          <w:sz w:val="20"/>
          <w:szCs w:val="20"/>
        </w:rPr>
        <w:t>defined</w:t>
      </w:r>
      <w:r w:rsidR="00325E83" w:rsidRPr="007A1BC5">
        <w:rPr>
          <w:rFonts w:ascii="Times New Roman" w:hAnsi="Times New Roman" w:cs="Times New Roman"/>
          <w:sz w:val="20"/>
          <w:szCs w:val="20"/>
        </w:rPr>
        <w:t xml:space="preserve"> as either the last measurement within 2-day time window prior to </w:t>
      </w:r>
      <w:r w:rsidR="004D7E8A">
        <w:rPr>
          <w:rFonts w:ascii="Times New Roman" w:hAnsi="Times New Roman" w:cs="Times New Roman"/>
          <w:sz w:val="20"/>
          <w:szCs w:val="20"/>
        </w:rPr>
        <w:t xml:space="preserve">hospital </w:t>
      </w:r>
      <w:r w:rsidR="00325E83" w:rsidRPr="007A1BC5">
        <w:rPr>
          <w:rFonts w:ascii="Times New Roman" w:hAnsi="Times New Roman" w:cs="Times New Roman"/>
          <w:sz w:val="20"/>
          <w:szCs w:val="20"/>
        </w:rPr>
        <w:t xml:space="preserve">admission or the first </w:t>
      </w:r>
      <w:proofErr w:type="spellStart"/>
      <w:r>
        <w:rPr>
          <w:rFonts w:ascii="Times New Roman" w:hAnsi="Times New Roman" w:cs="Times New Roman"/>
          <w:sz w:val="20"/>
          <w:szCs w:val="20"/>
        </w:rPr>
        <w:t>SCr</w:t>
      </w:r>
      <w:proofErr w:type="spellEnd"/>
      <w:r>
        <w:rPr>
          <w:rFonts w:ascii="Times New Roman" w:hAnsi="Times New Roman" w:cs="Times New Roman"/>
          <w:sz w:val="20"/>
          <w:szCs w:val="20"/>
        </w:rPr>
        <w:t xml:space="preserve"> measured after hospital admission</w:t>
      </w:r>
      <w:r w:rsidR="00325E83" w:rsidRPr="007A1BC5">
        <w:rPr>
          <w:rFonts w:ascii="Times New Roman" w:hAnsi="Times New Roman" w:cs="Times New Roman"/>
          <w:sz w:val="20"/>
          <w:szCs w:val="20"/>
        </w:rPr>
        <w:t xml:space="preserve">. All </w:t>
      </w:r>
      <w:proofErr w:type="spellStart"/>
      <w:r w:rsidR="004D7E8A">
        <w:rPr>
          <w:rFonts w:ascii="Times New Roman" w:hAnsi="Times New Roman" w:cs="Times New Roman"/>
          <w:sz w:val="20"/>
          <w:szCs w:val="20"/>
        </w:rPr>
        <w:t>SCr</w:t>
      </w:r>
      <w:proofErr w:type="spellEnd"/>
      <w:r w:rsidR="00325E83" w:rsidRPr="007A1BC5">
        <w:rPr>
          <w:rFonts w:ascii="Times New Roman" w:hAnsi="Times New Roman" w:cs="Times New Roman"/>
          <w:sz w:val="20"/>
          <w:szCs w:val="20"/>
        </w:rPr>
        <w:t xml:space="preserve"> </w:t>
      </w:r>
      <w:r w:rsidR="00A8136D">
        <w:rPr>
          <w:rFonts w:ascii="Times New Roman" w:hAnsi="Times New Roman" w:cs="Times New Roman"/>
          <w:sz w:val="20"/>
          <w:szCs w:val="20"/>
        </w:rPr>
        <w:t xml:space="preserve">levels </w:t>
      </w:r>
      <w:r w:rsidR="004D7E8A">
        <w:rPr>
          <w:rFonts w:ascii="Times New Roman" w:hAnsi="Times New Roman" w:cs="Times New Roman"/>
          <w:sz w:val="20"/>
          <w:szCs w:val="20"/>
        </w:rPr>
        <w:t>measured</w:t>
      </w:r>
      <w:r w:rsidR="00325E83" w:rsidRPr="007A1BC5">
        <w:rPr>
          <w:rFonts w:ascii="Times New Roman" w:hAnsi="Times New Roman" w:cs="Times New Roman"/>
          <w:sz w:val="20"/>
          <w:szCs w:val="20"/>
        </w:rPr>
        <w:t xml:space="preserve"> between admission and discharge </w:t>
      </w:r>
      <w:r w:rsidR="00C47EC1">
        <w:rPr>
          <w:rFonts w:ascii="Times New Roman" w:hAnsi="Times New Roman" w:cs="Times New Roman"/>
          <w:sz w:val="20"/>
          <w:szCs w:val="20"/>
        </w:rPr>
        <w:t>were</w:t>
      </w:r>
      <w:r w:rsidR="00325E83" w:rsidRPr="007A1BC5">
        <w:rPr>
          <w:rFonts w:ascii="Times New Roman" w:hAnsi="Times New Roman" w:cs="Times New Roman"/>
          <w:sz w:val="20"/>
          <w:szCs w:val="20"/>
        </w:rPr>
        <w:t xml:space="preserve"> evaluated to determine the occurrence of in-hospital AKI. </w:t>
      </w:r>
      <w:r w:rsidR="008A75A6">
        <w:rPr>
          <w:rFonts w:ascii="Times New Roman" w:hAnsi="Times New Roman" w:cs="Times New Roman"/>
          <w:sz w:val="20"/>
          <w:szCs w:val="20"/>
        </w:rPr>
        <w:t>Out of total 76,957</w:t>
      </w:r>
      <w:r w:rsidR="00325E83" w:rsidRPr="007A1BC5">
        <w:rPr>
          <w:rFonts w:ascii="Times New Roman" w:hAnsi="Times New Roman" w:cs="Times New Roman"/>
          <w:sz w:val="20"/>
          <w:szCs w:val="20"/>
        </w:rPr>
        <w:t xml:space="preserve"> encounters in the final analysis cohort, </w:t>
      </w:r>
      <w:r w:rsidR="008A75A6">
        <w:rPr>
          <w:rFonts w:ascii="Times New Roman" w:hAnsi="Times New Roman" w:cs="Times New Roman"/>
          <w:sz w:val="20"/>
          <w:szCs w:val="20"/>
        </w:rPr>
        <w:t>7,259 encounters had</w:t>
      </w:r>
      <w:r w:rsidR="00325E83" w:rsidRPr="007A1BC5">
        <w:rPr>
          <w:rFonts w:ascii="Times New Roman" w:hAnsi="Times New Roman" w:cs="Times New Roman"/>
          <w:sz w:val="20"/>
          <w:szCs w:val="20"/>
        </w:rPr>
        <w:t xml:space="preserve"> </w:t>
      </w:r>
      <w:r w:rsidR="00797C88">
        <w:rPr>
          <w:rFonts w:ascii="Times New Roman" w:hAnsi="Times New Roman" w:cs="Times New Roman"/>
          <w:sz w:val="20"/>
          <w:szCs w:val="20"/>
        </w:rPr>
        <w:t>any</w:t>
      </w:r>
      <w:r w:rsidR="008A75A6">
        <w:rPr>
          <w:rFonts w:ascii="Times New Roman" w:hAnsi="Times New Roman" w:cs="Times New Roman"/>
          <w:sz w:val="20"/>
          <w:szCs w:val="20"/>
        </w:rPr>
        <w:t xml:space="preserve"> </w:t>
      </w:r>
      <w:r w:rsidR="00325E83" w:rsidRPr="007A1BC5">
        <w:rPr>
          <w:rFonts w:ascii="Times New Roman" w:hAnsi="Times New Roman" w:cs="Times New Roman"/>
          <w:sz w:val="20"/>
          <w:szCs w:val="20"/>
        </w:rPr>
        <w:t>AKI</w:t>
      </w:r>
      <w:r w:rsidR="00BD5914">
        <w:rPr>
          <w:rFonts w:ascii="Times New Roman" w:hAnsi="Times New Roman" w:cs="Times New Roman"/>
          <w:sz w:val="20"/>
          <w:szCs w:val="20"/>
        </w:rPr>
        <w:t xml:space="preserve"> of </w:t>
      </w:r>
      <w:r w:rsidR="00797C88">
        <w:rPr>
          <w:rFonts w:ascii="Times New Roman" w:hAnsi="Times New Roman" w:cs="Times New Roman"/>
          <w:sz w:val="20"/>
          <w:szCs w:val="20"/>
        </w:rPr>
        <w:t>stage 1, 2, or 3</w:t>
      </w:r>
      <w:r w:rsidR="00BD5914">
        <w:rPr>
          <w:rFonts w:ascii="Times New Roman" w:hAnsi="Times New Roman" w:cs="Times New Roman"/>
          <w:sz w:val="20"/>
          <w:szCs w:val="20"/>
        </w:rPr>
        <w:t xml:space="preserve"> (9.43%)</w:t>
      </w:r>
      <w:r w:rsidR="00325E83" w:rsidRPr="007A1BC5">
        <w:rPr>
          <w:rFonts w:ascii="Times New Roman" w:hAnsi="Times New Roman" w:cs="Times New Roman"/>
          <w:sz w:val="20"/>
          <w:szCs w:val="20"/>
        </w:rPr>
        <w:t xml:space="preserve"> </w:t>
      </w:r>
      <w:r w:rsidR="008A75A6">
        <w:rPr>
          <w:rFonts w:ascii="Times New Roman" w:hAnsi="Times New Roman" w:cs="Times New Roman"/>
          <w:sz w:val="20"/>
          <w:szCs w:val="20"/>
        </w:rPr>
        <w:t xml:space="preserve">and 69,698 </w:t>
      </w:r>
      <w:r w:rsidR="00797C88">
        <w:rPr>
          <w:rFonts w:ascii="Times New Roman" w:hAnsi="Times New Roman" w:cs="Times New Roman"/>
          <w:sz w:val="20"/>
          <w:szCs w:val="20"/>
        </w:rPr>
        <w:t>had</w:t>
      </w:r>
      <w:r w:rsidR="008A75A6">
        <w:rPr>
          <w:rFonts w:ascii="Times New Roman" w:hAnsi="Times New Roman" w:cs="Times New Roman"/>
          <w:sz w:val="20"/>
          <w:szCs w:val="20"/>
        </w:rPr>
        <w:t xml:space="preserve"> no AKI events</w:t>
      </w:r>
      <w:r w:rsidR="00325E83" w:rsidRPr="007A1BC5">
        <w:rPr>
          <w:rFonts w:ascii="Times New Roman" w:hAnsi="Times New Roman" w:cs="Times New Roman"/>
          <w:sz w:val="20"/>
          <w:szCs w:val="20"/>
        </w:rPr>
        <w:t>.</w:t>
      </w:r>
    </w:p>
    <w:p w:rsidR="00D6418E" w:rsidRPr="00554E1E" w:rsidRDefault="00D6418E" w:rsidP="00D6418E">
      <w:pPr>
        <w:spacing w:after="0" w:line="240" w:lineRule="auto"/>
        <w:jc w:val="both"/>
        <w:rPr>
          <w:rFonts w:ascii="Times New Roman" w:hAnsi="Times New Roman" w:cs="Times New Roman"/>
          <w:sz w:val="20"/>
          <w:szCs w:val="20"/>
        </w:rPr>
      </w:pPr>
    </w:p>
    <w:p w:rsidR="00325E83" w:rsidRPr="003F5400" w:rsidRDefault="00325E83" w:rsidP="00325E83">
      <w:pPr>
        <w:spacing w:after="120" w:line="240" w:lineRule="auto"/>
        <w:jc w:val="both"/>
        <w:rPr>
          <w:rFonts w:ascii="Times New Roman" w:hAnsi="Times New Roman" w:cs="Times New Roman"/>
          <w:b/>
          <w:sz w:val="20"/>
          <w:szCs w:val="20"/>
        </w:rPr>
      </w:pPr>
      <w:r w:rsidRPr="003F5400">
        <w:rPr>
          <w:rFonts w:ascii="Times New Roman" w:hAnsi="Times New Roman" w:cs="Times New Roman"/>
          <w:b/>
          <w:sz w:val="20"/>
          <w:szCs w:val="20"/>
        </w:rPr>
        <w:t>AKI Risk Factors</w:t>
      </w:r>
    </w:p>
    <w:p w:rsidR="00325E83" w:rsidRDefault="00325E83" w:rsidP="00325E83">
      <w:pPr>
        <w:spacing w:after="120" w:line="240" w:lineRule="auto"/>
        <w:jc w:val="both"/>
        <w:rPr>
          <w:rFonts w:ascii="Times New Roman" w:hAnsi="Times New Roman" w:cs="Times New Roman"/>
          <w:sz w:val="20"/>
          <w:szCs w:val="20"/>
        </w:rPr>
      </w:pPr>
      <w:r w:rsidRPr="00D84F46">
        <w:rPr>
          <w:rFonts w:ascii="Times New Roman" w:hAnsi="Times New Roman" w:cs="Times New Roman"/>
          <w:sz w:val="20"/>
          <w:szCs w:val="20"/>
        </w:rPr>
        <w:t xml:space="preserve">A </w:t>
      </w:r>
      <w:r w:rsidR="00DC61CE">
        <w:rPr>
          <w:rFonts w:ascii="Times New Roman" w:hAnsi="Times New Roman" w:cs="Times New Roman"/>
          <w:sz w:val="20"/>
          <w:szCs w:val="20"/>
        </w:rPr>
        <w:t>summary</w:t>
      </w:r>
      <w:r w:rsidRPr="00D84F46">
        <w:rPr>
          <w:rFonts w:ascii="Times New Roman" w:hAnsi="Times New Roman" w:cs="Times New Roman"/>
          <w:sz w:val="20"/>
          <w:szCs w:val="20"/>
        </w:rPr>
        <w:t xml:space="preserve"> of clinical variables used in building the AKI predictio</w:t>
      </w:r>
      <w:r w:rsidR="00612120">
        <w:rPr>
          <w:rFonts w:ascii="Times New Roman" w:hAnsi="Times New Roman" w:cs="Times New Roman"/>
          <w:sz w:val="20"/>
          <w:szCs w:val="20"/>
        </w:rPr>
        <w:t>n models is described in Table 2</w:t>
      </w:r>
      <w:r w:rsidRPr="00D84F46">
        <w:rPr>
          <w:rFonts w:ascii="Times New Roman" w:hAnsi="Times New Roman" w:cs="Times New Roman"/>
          <w:sz w:val="20"/>
          <w:szCs w:val="20"/>
        </w:rPr>
        <w:t>. We referred to Matheny et al</w:t>
      </w:r>
      <w:hyperlink w:anchor="_ENREF_31" w:tooltip="Matheny, 2010 #762" w:history="1">
        <w:r w:rsidRPr="00D84F46">
          <w:rPr>
            <w:rFonts w:ascii="Times New Roman" w:hAnsi="Times New Roman" w:cs="Times New Roman"/>
            <w:sz w:val="20"/>
            <w:szCs w:val="20"/>
          </w:rPr>
          <w:fldChar w:fldCharType="begin">
            <w:fldData xml:space="preserve">PEVuZE5vdGU+PENpdGU+PEF1dGhvcj5NYXRoZW55PC9BdXRob3I+PFllYXI+MjAxMDwvWWVhcj48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</w:fldData>
          </w:fldChar>
        </w:r>
        <w:r>
          <w:rPr>
            <w:rFonts w:ascii="Times New Roman" w:hAnsi="Times New Roman" w:cs="Times New Roman"/>
            <w:sz w:val="20"/>
            <w:szCs w:val="20"/>
          </w:rPr>
          <w:instrText xml:space="preserve"> ADDIN EN.CITE </w:instrText>
        </w:r>
        <w:r>
          <w:rPr>
            <w:rFonts w:ascii="Times New Roman" w:hAnsi="Times New Roman" w:cs="Times New Roman"/>
            <w:sz w:val="20"/>
            <w:szCs w:val="20"/>
          </w:rPr>
          <w:fldChar w:fldCharType="begin">
            <w:fldData xml:space="preserve">PEVuZE5vdGU+PENpdGU+PEF1dGhvcj5NYXRoZW55PC9BdXRob3I+PFllYXI+MjAxMDwvWWVhcj48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</w:fldData>
          </w:fldChar>
        </w:r>
        <w:r>
          <w:rPr>
            <w:rFonts w:ascii="Times New Roman" w:hAnsi="Times New Roman" w:cs="Times New Roman"/>
            <w:sz w:val="20"/>
            <w:szCs w:val="20"/>
          </w:rPr>
          <w:instrText xml:space="preserve"> ADDIN EN.CITE.DATA </w:instrText>
        </w:r>
        <w:r>
          <w:rPr>
            <w:rFonts w:ascii="Times New Roman" w:hAnsi="Times New Roman" w:cs="Times New Roman"/>
            <w:sz w:val="20"/>
            <w:szCs w:val="20"/>
          </w:rPr>
        </w:r>
        <w:r>
          <w:rPr>
            <w:rFonts w:ascii="Times New Roman" w:hAnsi="Times New Roman" w:cs="Times New Roman"/>
            <w:sz w:val="20"/>
            <w:szCs w:val="20"/>
          </w:rPr>
          <w:fldChar w:fldCharType="end"/>
        </w:r>
        <w:r w:rsidRPr="00D84F46">
          <w:rPr>
            <w:rFonts w:ascii="Times New Roman" w:hAnsi="Times New Roman" w:cs="Times New Roman"/>
            <w:sz w:val="20"/>
            <w:szCs w:val="20"/>
          </w:rPr>
        </w:r>
        <w:r w:rsidRPr="00D84F46">
          <w:rPr>
            <w:rFonts w:ascii="Times New Roman" w:hAnsi="Times New Roman" w:cs="Times New Roman"/>
            <w:sz w:val="20"/>
            <w:szCs w:val="20"/>
          </w:rPr>
          <w:fldChar w:fldCharType="separate"/>
        </w:r>
        <w:r w:rsidRPr="00E06E17">
          <w:rPr>
            <w:rFonts w:ascii="Times New Roman" w:hAnsi="Times New Roman" w:cs="Times New Roman"/>
            <w:noProof/>
            <w:sz w:val="20"/>
            <w:szCs w:val="20"/>
            <w:vertAlign w:val="superscript"/>
          </w:rPr>
          <w:t>31</w:t>
        </w:r>
        <w:r w:rsidRPr="00D84F46">
          <w:rPr>
            <w:rFonts w:ascii="Times New Roman" w:hAnsi="Times New Roman" w:cs="Times New Roman"/>
            <w:sz w:val="20"/>
            <w:szCs w:val="20"/>
          </w:rPr>
          <w:fldChar w:fldCharType="end"/>
        </w:r>
      </w:hyperlink>
      <w:r>
        <w:rPr>
          <w:rFonts w:ascii="Times New Roman" w:hAnsi="Times New Roman" w:cs="Times New Roman" w:hint="eastAsia"/>
          <w:sz w:val="20"/>
          <w:szCs w:val="20"/>
        </w:rPr>
        <w:t xml:space="preserve"> </w:t>
      </w:r>
      <w:r w:rsidRPr="00D84F46">
        <w:rPr>
          <w:rFonts w:ascii="Times New Roman" w:hAnsi="Times New Roman" w:cs="Times New Roman"/>
          <w:sz w:val="20"/>
          <w:szCs w:val="20"/>
        </w:rPr>
        <w:t xml:space="preserve">to select laboratory tests that may represent potential presence of a comorbidity that is correlated </w:t>
      </w:r>
      <w:r w:rsidRPr="00D84F46">
        <w:rPr>
          <w:rFonts w:ascii="Times New Roman" w:hAnsi="Times New Roman" w:cs="Times New Roman"/>
          <w:sz w:val="20"/>
          <w:szCs w:val="20"/>
        </w:rPr>
        <w:lastRenderedPageBreak/>
        <w:t>with in-hospital AKI. For example, an elevated white blood cell count (WBC) is associated with bacterial infection that may cause AKI.</w:t>
      </w:r>
      <w:r>
        <w:rPr>
          <w:rFonts w:ascii="Times New Roman" w:hAnsi="Times New Roman" w:cs="Times New Roman"/>
          <w:sz w:val="20"/>
          <w:szCs w:val="20"/>
        </w:rPr>
        <w:t xml:space="preserve"> </w:t>
      </w:r>
      <w:proofErr w:type="spellStart"/>
      <w:r w:rsidR="00803EFD">
        <w:rPr>
          <w:rFonts w:ascii="Times New Roman" w:hAnsi="Times New Roman" w:cs="Times New Roman"/>
          <w:sz w:val="20"/>
          <w:szCs w:val="20"/>
        </w:rPr>
        <w:t>SCr</w:t>
      </w:r>
      <w:proofErr w:type="spellEnd"/>
      <w:r w:rsidRPr="00D84F46">
        <w:rPr>
          <w:rFonts w:ascii="Times New Roman" w:hAnsi="Times New Roman" w:cs="Times New Roman"/>
          <w:sz w:val="20"/>
          <w:szCs w:val="20"/>
        </w:rPr>
        <w:t xml:space="preserve"> was not included as a </w:t>
      </w:r>
      <w:r w:rsidR="00803EFD">
        <w:rPr>
          <w:rFonts w:ascii="Times New Roman" w:hAnsi="Times New Roman" w:cs="Times New Roman"/>
          <w:sz w:val="20"/>
          <w:szCs w:val="20"/>
        </w:rPr>
        <w:t xml:space="preserve">predictive </w:t>
      </w:r>
      <w:r w:rsidRPr="00D84F46">
        <w:rPr>
          <w:rFonts w:ascii="Times New Roman" w:hAnsi="Times New Roman" w:cs="Times New Roman"/>
          <w:sz w:val="20"/>
          <w:szCs w:val="20"/>
        </w:rPr>
        <w:t xml:space="preserve">variable as it was used to determine the </w:t>
      </w:r>
      <w:r w:rsidR="00803EFD">
        <w:rPr>
          <w:rFonts w:ascii="Times New Roman" w:hAnsi="Times New Roman" w:cs="Times New Roman"/>
          <w:sz w:val="20"/>
          <w:szCs w:val="20"/>
        </w:rPr>
        <w:t xml:space="preserve">AKI vs non-AKI encounters. </w:t>
      </w:r>
      <w:r w:rsidRPr="00D84F46">
        <w:rPr>
          <w:rFonts w:ascii="Times New Roman" w:hAnsi="Times New Roman" w:cs="Times New Roman"/>
          <w:sz w:val="20"/>
          <w:szCs w:val="20"/>
        </w:rPr>
        <w:t>For laboratory tests and vitals, only the last recorded value befo</w:t>
      </w:r>
      <w:r>
        <w:rPr>
          <w:rFonts w:ascii="Times New Roman" w:hAnsi="Times New Roman" w:cs="Times New Roman"/>
          <w:sz w:val="20"/>
          <w:szCs w:val="20"/>
        </w:rPr>
        <w:t>re a prediction point was used and their values were categorized. Laboratory values were categorized as either “present and normal”, “present and abnormal”, or “unknown” according to standard reference ranges. Vitals were categorized</w:t>
      </w:r>
      <w:r w:rsidR="00D34911">
        <w:rPr>
          <w:rFonts w:ascii="Times New Roman" w:hAnsi="Times New Roman" w:cs="Times New Roman"/>
          <w:sz w:val="20"/>
          <w:szCs w:val="20"/>
        </w:rPr>
        <w:t xml:space="preserve"> into groups as shown in Table 3</w:t>
      </w:r>
      <w:r>
        <w:rPr>
          <w:rFonts w:ascii="Times New Roman" w:hAnsi="Times New Roman" w:cs="Times New Roman"/>
          <w:sz w:val="20"/>
          <w:szCs w:val="20"/>
        </w:rPr>
        <w:t xml:space="preserve">. </w:t>
      </w:r>
      <w:r w:rsidRPr="00D84F46">
        <w:rPr>
          <w:rFonts w:ascii="Times New Roman" w:hAnsi="Times New Roman" w:cs="Times New Roman"/>
          <w:sz w:val="20"/>
          <w:szCs w:val="20"/>
        </w:rPr>
        <w:t xml:space="preserve">Missing values in vitals and lab tests </w:t>
      </w:r>
      <w:r>
        <w:rPr>
          <w:rFonts w:ascii="Times New Roman" w:hAnsi="Times New Roman" w:cs="Times New Roman"/>
          <w:sz w:val="20"/>
          <w:szCs w:val="20"/>
        </w:rPr>
        <w:t>were</w:t>
      </w:r>
      <w:r w:rsidRPr="00D84F46">
        <w:rPr>
          <w:rFonts w:ascii="Times New Roman" w:hAnsi="Times New Roman" w:cs="Times New Roman"/>
          <w:sz w:val="20"/>
          <w:szCs w:val="20"/>
        </w:rPr>
        <w:t xml:space="preserve"> captured as </w:t>
      </w:r>
      <w:r>
        <w:rPr>
          <w:rFonts w:ascii="Times New Roman" w:hAnsi="Times New Roman" w:cs="Times New Roman"/>
          <w:sz w:val="20"/>
          <w:szCs w:val="20"/>
        </w:rPr>
        <w:t>“</w:t>
      </w:r>
      <w:r w:rsidRPr="00D84F46">
        <w:rPr>
          <w:rFonts w:ascii="Times New Roman" w:hAnsi="Times New Roman" w:cs="Times New Roman"/>
          <w:sz w:val="20"/>
          <w:szCs w:val="20"/>
        </w:rPr>
        <w:t>unknowns</w:t>
      </w:r>
      <w:r>
        <w:rPr>
          <w:rFonts w:ascii="Times New Roman" w:hAnsi="Times New Roman" w:cs="Times New Roman"/>
          <w:sz w:val="20"/>
          <w:szCs w:val="20"/>
        </w:rPr>
        <w:t>”</w:t>
      </w:r>
      <w:r w:rsidRPr="00D84F46">
        <w:rPr>
          <w:rFonts w:ascii="Times New Roman" w:hAnsi="Times New Roman" w:cs="Times New Roman"/>
          <w:sz w:val="20"/>
          <w:szCs w:val="20"/>
        </w:rPr>
        <w:t xml:space="preserve"> because information may be contained in the choice to not perform the measurement.</w:t>
      </w:r>
    </w:p>
    <w:p w:rsidR="00325E83" w:rsidRDefault="00325E83" w:rsidP="00325E83">
      <w:pPr>
        <w:spacing w:after="120" w:line="240" w:lineRule="auto"/>
        <w:jc w:val="both"/>
        <w:rPr>
          <w:rFonts w:ascii="Times New Roman" w:hAnsi="Times New Roman" w:cs="Times New Roman"/>
          <w:sz w:val="20"/>
          <w:szCs w:val="20"/>
        </w:rPr>
      </w:pPr>
      <w:r w:rsidRPr="00D84F46">
        <w:rPr>
          <w:rFonts w:ascii="Times New Roman" w:hAnsi="Times New Roman" w:cs="Times New Roman"/>
          <w:sz w:val="20"/>
          <w:szCs w:val="20"/>
        </w:rPr>
        <w:t>Medication va</w:t>
      </w:r>
      <w:r w:rsidR="00C1545C">
        <w:rPr>
          <w:rFonts w:ascii="Times New Roman" w:hAnsi="Times New Roman" w:cs="Times New Roman"/>
          <w:sz w:val="20"/>
          <w:szCs w:val="20"/>
        </w:rPr>
        <w:t>riable included inpatient (i.e.</w:t>
      </w:r>
      <w:r w:rsidRPr="00D84F46">
        <w:rPr>
          <w:rFonts w:ascii="Times New Roman" w:hAnsi="Times New Roman" w:cs="Times New Roman"/>
          <w:sz w:val="20"/>
          <w:szCs w:val="20"/>
        </w:rPr>
        <w:t xml:space="preserve"> dispensed d</w:t>
      </w:r>
      <w:r w:rsidRPr="007A1BC5">
        <w:rPr>
          <w:rFonts w:ascii="Times New Roman" w:hAnsi="Times New Roman" w:cs="Times New Roman"/>
          <w:sz w:val="20"/>
          <w:szCs w:val="20"/>
        </w:rPr>
        <w:t>uring stay) a</w:t>
      </w:r>
      <w:r w:rsidR="00C1545C">
        <w:rPr>
          <w:rFonts w:ascii="Times New Roman" w:hAnsi="Times New Roman" w:cs="Times New Roman"/>
          <w:sz w:val="20"/>
          <w:szCs w:val="20"/>
        </w:rPr>
        <w:t>nd outpatient medications (i.e.</w:t>
      </w:r>
      <w:r w:rsidRPr="007A1BC5">
        <w:rPr>
          <w:rFonts w:ascii="Times New Roman" w:hAnsi="Times New Roman" w:cs="Times New Roman"/>
          <w:sz w:val="20"/>
          <w:szCs w:val="20"/>
        </w:rPr>
        <w:t xml:space="preserve"> historical meds). All medication names were normalized by mapping to </w:t>
      </w:r>
      <w:proofErr w:type="spellStart"/>
      <w:r w:rsidRPr="007A1BC5">
        <w:rPr>
          <w:rFonts w:ascii="Times New Roman" w:hAnsi="Times New Roman" w:cs="Times New Roman"/>
          <w:sz w:val="20"/>
          <w:szCs w:val="20"/>
        </w:rPr>
        <w:t>RxNorm</w:t>
      </w:r>
      <w:proofErr w:type="spellEnd"/>
      <w:r w:rsidRPr="007A1BC5">
        <w:rPr>
          <w:rFonts w:ascii="Times New Roman" w:hAnsi="Times New Roman" w:cs="Times New Roman"/>
          <w:sz w:val="20"/>
          <w:szCs w:val="20"/>
        </w:rPr>
        <w:t xml:space="preserve"> ingredient. Comorbidity and admission diagnosis, i.e., all patient refined diagnosis related group (APR-DRG) variables were collected from the </w:t>
      </w:r>
      <w:r w:rsidRPr="006F178D">
        <w:rPr>
          <w:rFonts w:ascii="Times New Roman" w:hAnsi="Times New Roman" w:cs="Times New Roman"/>
          <w:sz w:val="20"/>
          <w:szCs w:val="20"/>
        </w:rPr>
        <w:t xml:space="preserve">University </w:t>
      </w:r>
      <w:proofErr w:type="spellStart"/>
      <w:r w:rsidRPr="006F178D">
        <w:rPr>
          <w:rFonts w:ascii="Times New Roman" w:hAnsi="Times New Roman" w:cs="Times New Roman"/>
          <w:sz w:val="20"/>
          <w:szCs w:val="20"/>
        </w:rPr>
        <w:t>Health</w:t>
      </w:r>
      <w:r>
        <w:rPr>
          <w:rFonts w:ascii="Times New Roman" w:hAnsi="Times New Roman" w:cs="Times New Roman"/>
          <w:sz w:val="20"/>
          <w:szCs w:val="20"/>
        </w:rPr>
        <w:t>s</w:t>
      </w:r>
      <w:r w:rsidRPr="006F178D">
        <w:rPr>
          <w:rFonts w:ascii="Times New Roman" w:hAnsi="Times New Roman" w:cs="Times New Roman"/>
          <w:sz w:val="20"/>
          <w:szCs w:val="20"/>
        </w:rPr>
        <w:t>ystem</w:t>
      </w:r>
      <w:proofErr w:type="spellEnd"/>
      <w:r w:rsidRPr="00D84F46">
        <w:rPr>
          <w:rFonts w:ascii="Times New Roman" w:hAnsi="Times New Roman" w:cs="Times New Roman"/>
          <w:sz w:val="20"/>
          <w:szCs w:val="20"/>
        </w:rPr>
        <w:t xml:space="preserve"> Consortium</w:t>
      </w:r>
      <w:r>
        <w:rPr>
          <w:rFonts w:ascii="Times New Roman" w:hAnsi="Times New Roman" w:cs="Times New Roman" w:hint="eastAsia"/>
          <w:sz w:val="20"/>
          <w:szCs w:val="20"/>
        </w:rPr>
        <w:t xml:space="preserve"> </w:t>
      </w:r>
      <w:r w:rsidRPr="00D84F46">
        <w:rPr>
          <w:rFonts w:ascii="Times New Roman" w:hAnsi="Times New Roman" w:cs="Times New Roman"/>
          <w:sz w:val="20"/>
          <w:szCs w:val="20"/>
        </w:rPr>
        <w:t xml:space="preserve">(UHC) data source in HERON. </w:t>
      </w:r>
      <w:r w:rsidR="004E5631">
        <w:rPr>
          <w:rFonts w:ascii="Times New Roman" w:hAnsi="Times New Roman" w:cs="Times New Roman"/>
          <w:sz w:val="20"/>
          <w:szCs w:val="20"/>
        </w:rPr>
        <w:t>Patient medical history was captured as major diagnoses (ICD-9 codes grouped according to the Clinical Classifications Software (CCS) diagnosis categories by the Agency for Healthcare Research and Quality). Medical history</w:t>
      </w:r>
      <w:r>
        <w:rPr>
          <w:rFonts w:ascii="Times New Roman" w:hAnsi="Times New Roman" w:cs="Times New Roman"/>
          <w:sz w:val="20"/>
          <w:szCs w:val="20"/>
        </w:rPr>
        <w:t xml:space="preserve">, medication, </w:t>
      </w:r>
      <w:r w:rsidR="004E5631">
        <w:rPr>
          <w:rFonts w:ascii="Times New Roman" w:hAnsi="Times New Roman" w:cs="Times New Roman"/>
          <w:sz w:val="20"/>
          <w:szCs w:val="20"/>
        </w:rPr>
        <w:t xml:space="preserve">comorbidity </w:t>
      </w:r>
      <w:r>
        <w:rPr>
          <w:rFonts w:ascii="Times New Roman" w:hAnsi="Times New Roman" w:cs="Times New Roman"/>
          <w:sz w:val="20"/>
          <w:szCs w:val="20"/>
        </w:rPr>
        <w:t>and admission diagnosis variables took either “yes” or “no” values.</w:t>
      </w:r>
    </w:p>
    <w:p w:rsidR="00325E83" w:rsidRPr="003F5400" w:rsidRDefault="00325E83" w:rsidP="00325E83">
      <w:pPr>
        <w:spacing w:after="120" w:line="240" w:lineRule="auto"/>
        <w:jc w:val="center"/>
        <w:rPr>
          <w:rFonts w:ascii="Times New Roman" w:hAnsi="Times New Roman" w:cs="Times New Roman"/>
          <w:sz w:val="20"/>
          <w:szCs w:val="20"/>
        </w:rPr>
      </w:pPr>
      <w:proofErr w:type="gramStart"/>
      <w:r w:rsidRPr="008C68A0">
        <w:rPr>
          <w:rFonts w:ascii="Times New Roman" w:hAnsi="Times New Roman" w:cs="Times New Roman"/>
          <w:b/>
          <w:sz w:val="20"/>
          <w:szCs w:val="20"/>
        </w:rPr>
        <w:t xml:space="preserve">Table </w:t>
      </w:r>
      <w:r w:rsidR="00612120">
        <w:rPr>
          <w:rFonts w:ascii="Times New Roman" w:hAnsi="Times New Roman" w:cs="Times New Roman"/>
          <w:b/>
          <w:sz w:val="20"/>
          <w:szCs w:val="20"/>
        </w:rPr>
        <w:t>2</w:t>
      </w:r>
      <w:r w:rsidRPr="008C68A0">
        <w:rPr>
          <w:rFonts w:ascii="Times New Roman" w:hAnsi="Times New Roman" w:cs="Times New Roman"/>
          <w:b/>
          <w:sz w:val="20"/>
          <w:szCs w:val="20"/>
        </w:rPr>
        <w:t>.</w:t>
      </w:r>
      <w:proofErr w:type="gramEnd"/>
      <w:r w:rsidRPr="008C68A0">
        <w:rPr>
          <w:rFonts w:ascii="Times New Roman" w:hAnsi="Times New Roman" w:cs="Times New Roman"/>
          <w:sz w:val="20"/>
          <w:szCs w:val="20"/>
        </w:rPr>
        <w:t xml:space="preserve"> Clinical variables considered in building predictive models for hospital-acquired AKI</w:t>
      </w:r>
    </w:p>
    <w:tbl>
      <w:tblPr>
        <w:tblStyle w:val="1"/>
        <w:tblW w:w="8442" w:type="dxa"/>
        <w:jc w:val="center"/>
        <w:tblInd w:w="-413" w:type="dxa"/>
        <w:tblLayout w:type="fixed"/>
        <w:tblLook w:val="04A0" w:firstRow="1" w:lastRow="0" w:firstColumn="1" w:lastColumn="0" w:noHBand="0" w:noVBand="1"/>
      </w:tblPr>
      <w:tblGrid>
        <w:gridCol w:w="2448"/>
        <w:gridCol w:w="1443"/>
        <w:gridCol w:w="4551"/>
      </w:tblGrid>
      <w:tr w:rsidR="00325E83" w:rsidRPr="007F5B20" w:rsidTr="00DC38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bottom w:val="single" w:sz="4" w:space="0" w:color="000000" w:themeColor="text1"/>
            </w:tcBorders>
            <w:vAlign w:val="center"/>
          </w:tcPr>
          <w:p w:rsidR="00325E83" w:rsidRPr="00E01CC9" w:rsidRDefault="00325E83" w:rsidP="00CB2A58">
            <w:pPr>
              <w:pStyle w:val="ListParagraph"/>
              <w:spacing w:after="60"/>
              <w:ind w:left="0"/>
              <w:contextualSpacing w:val="0"/>
              <w:jc w:val="both"/>
              <w:rPr>
                <w:rFonts w:ascii="Times New Roman" w:hAnsi="Times New Roman"/>
                <w:sz w:val="20"/>
                <w:szCs w:val="20"/>
              </w:rPr>
            </w:pPr>
            <w:r w:rsidRPr="00E01CC9">
              <w:rPr>
                <w:rFonts w:ascii="Times New Roman" w:hAnsi="Times New Roman"/>
                <w:sz w:val="20"/>
                <w:szCs w:val="20"/>
              </w:rPr>
              <w:t>Feature Category</w:t>
            </w:r>
          </w:p>
        </w:tc>
        <w:tc>
          <w:tcPr>
            <w:tcW w:w="1443" w:type="dxa"/>
            <w:tcBorders>
              <w:bottom w:val="single" w:sz="4" w:space="0" w:color="000000" w:themeColor="text1"/>
            </w:tcBorders>
            <w:vAlign w:val="center"/>
          </w:tcPr>
          <w:p w:rsidR="00325E83" w:rsidRPr="00E01CC9" w:rsidRDefault="00325E83" w:rsidP="00CB2A58">
            <w:pPr>
              <w:pStyle w:val="ListParagraph"/>
              <w:spacing w:after="60"/>
              <w:ind w:left="0"/>
              <w:contextualSpacing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E01CC9">
              <w:rPr>
                <w:rFonts w:ascii="Times New Roman" w:hAnsi="Times New Roman"/>
                <w:sz w:val="20"/>
                <w:szCs w:val="20"/>
              </w:rPr>
              <w:t># of Variables</w:t>
            </w:r>
          </w:p>
        </w:tc>
        <w:tc>
          <w:tcPr>
            <w:tcW w:w="4551" w:type="dxa"/>
            <w:tcBorders>
              <w:bottom w:val="single" w:sz="4" w:space="0" w:color="000000" w:themeColor="text1"/>
            </w:tcBorders>
            <w:vAlign w:val="center"/>
          </w:tcPr>
          <w:p w:rsidR="00325E83" w:rsidRPr="00E01CC9" w:rsidRDefault="00325E83" w:rsidP="00CB2A58">
            <w:pPr>
              <w:pStyle w:val="ListParagraph"/>
              <w:spacing w:after="60"/>
              <w:ind w:left="0"/>
              <w:contextualSpacing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E01CC9">
              <w:rPr>
                <w:rFonts w:ascii="Times New Roman" w:hAnsi="Times New Roman"/>
                <w:sz w:val="20"/>
                <w:szCs w:val="20"/>
              </w:rPr>
              <w:t>Details</w:t>
            </w:r>
          </w:p>
        </w:tc>
      </w:tr>
      <w:tr w:rsidR="00325E83" w:rsidRPr="007F5B20" w:rsidTr="00DC38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top w:val="single" w:sz="4" w:space="0" w:color="000000" w:themeColor="text1"/>
              <w:bottom w:val="nil"/>
            </w:tcBorders>
            <w:shd w:val="clear" w:color="auto" w:fill="auto"/>
            <w:vAlign w:val="center"/>
          </w:tcPr>
          <w:p w:rsidR="00325E83" w:rsidRPr="0041677C" w:rsidRDefault="00325E83" w:rsidP="00CB2A58">
            <w:pPr>
              <w:pStyle w:val="ListParagraph"/>
              <w:spacing w:after="60"/>
              <w:ind w:left="0"/>
              <w:contextualSpacing w:val="0"/>
              <w:jc w:val="both"/>
              <w:rPr>
                <w:rFonts w:ascii="Times New Roman" w:hAnsi="Times New Roman"/>
                <w:b w:val="0"/>
                <w:sz w:val="20"/>
                <w:szCs w:val="20"/>
              </w:rPr>
            </w:pPr>
            <w:r w:rsidRPr="0041677C">
              <w:rPr>
                <w:rFonts w:ascii="Times New Roman" w:hAnsi="Times New Roman"/>
                <w:b w:val="0"/>
                <w:sz w:val="20"/>
                <w:szCs w:val="20"/>
              </w:rPr>
              <w:t>Demographics</w:t>
            </w:r>
          </w:p>
        </w:tc>
        <w:tc>
          <w:tcPr>
            <w:tcW w:w="1443" w:type="dxa"/>
            <w:tcBorders>
              <w:top w:val="single" w:sz="4" w:space="0" w:color="000000" w:themeColor="text1"/>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01CC9">
              <w:rPr>
                <w:rFonts w:ascii="Times New Roman" w:hAnsi="Times New Roman"/>
                <w:sz w:val="20"/>
                <w:szCs w:val="20"/>
              </w:rPr>
              <w:t>3</w:t>
            </w:r>
          </w:p>
        </w:tc>
        <w:tc>
          <w:tcPr>
            <w:tcW w:w="4551" w:type="dxa"/>
            <w:tcBorders>
              <w:top w:val="single" w:sz="4" w:space="0" w:color="000000" w:themeColor="text1"/>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01CC9">
              <w:rPr>
                <w:rFonts w:ascii="Times New Roman" w:hAnsi="Times New Roman"/>
                <w:sz w:val="20"/>
                <w:szCs w:val="20"/>
              </w:rPr>
              <w:t>Age, gender, race</w:t>
            </w:r>
          </w:p>
        </w:tc>
      </w:tr>
      <w:tr w:rsidR="00325E83" w:rsidRPr="007F5B20" w:rsidTr="00DC383A">
        <w:trPr>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shd w:val="clear" w:color="auto" w:fill="auto"/>
            <w:vAlign w:val="center"/>
          </w:tcPr>
          <w:p w:rsidR="00325E83" w:rsidRPr="0041677C" w:rsidRDefault="00325E83" w:rsidP="00CB2A58">
            <w:pPr>
              <w:pStyle w:val="ListParagraph"/>
              <w:spacing w:after="60"/>
              <w:ind w:left="0"/>
              <w:contextualSpacing w:val="0"/>
              <w:jc w:val="both"/>
              <w:rPr>
                <w:rFonts w:ascii="Times New Roman" w:hAnsi="Times New Roman"/>
                <w:b w:val="0"/>
                <w:sz w:val="20"/>
                <w:szCs w:val="20"/>
              </w:rPr>
            </w:pPr>
            <w:r w:rsidRPr="0041677C">
              <w:rPr>
                <w:rFonts w:ascii="Times New Roman" w:hAnsi="Times New Roman"/>
                <w:b w:val="0"/>
                <w:sz w:val="20"/>
                <w:szCs w:val="20"/>
              </w:rPr>
              <w:t>Vitals</w:t>
            </w:r>
          </w:p>
        </w:tc>
        <w:tc>
          <w:tcPr>
            <w:tcW w:w="1443" w:type="dxa"/>
            <w:tcBorders>
              <w:top w:val="nil"/>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01CC9">
              <w:rPr>
                <w:rFonts w:ascii="Times New Roman" w:hAnsi="Times New Roman"/>
                <w:sz w:val="20"/>
                <w:szCs w:val="20"/>
              </w:rPr>
              <w:t>5</w:t>
            </w:r>
          </w:p>
        </w:tc>
        <w:tc>
          <w:tcPr>
            <w:tcW w:w="4551" w:type="dxa"/>
            <w:tcBorders>
              <w:top w:val="nil"/>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01CC9">
              <w:rPr>
                <w:rFonts w:ascii="Times New Roman" w:hAnsi="Times New Roman"/>
                <w:sz w:val="20"/>
                <w:szCs w:val="20"/>
              </w:rPr>
              <w:t>BMI, diastolic BP, systolic BP, pulse, temperature</w:t>
            </w:r>
          </w:p>
        </w:tc>
      </w:tr>
      <w:tr w:rsidR="00325E83" w:rsidRPr="007F5B20" w:rsidTr="00DC38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shd w:val="clear" w:color="auto" w:fill="auto"/>
            <w:vAlign w:val="center"/>
          </w:tcPr>
          <w:p w:rsidR="00325E83" w:rsidRPr="0041677C" w:rsidRDefault="00325E83" w:rsidP="00CB2A58">
            <w:pPr>
              <w:pStyle w:val="ListParagraph"/>
              <w:spacing w:after="60"/>
              <w:ind w:left="0"/>
              <w:contextualSpacing w:val="0"/>
              <w:jc w:val="both"/>
              <w:rPr>
                <w:rFonts w:ascii="Times New Roman" w:hAnsi="Times New Roman"/>
                <w:b w:val="0"/>
                <w:sz w:val="20"/>
                <w:szCs w:val="20"/>
              </w:rPr>
            </w:pPr>
            <w:r w:rsidRPr="0041677C">
              <w:rPr>
                <w:rFonts w:ascii="Times New Roman" w:hAnsi="Times New Roman"/>
                <w:b w:val="0"/>
                <w:sz w:val="20"/>
                <w:szCs w:val="20"/>
              </w:rPr>
              <w:t>Lab tests</w:t>
            </w:r>
          </w:p>
        </w:tc>
        <w:tc>
          <w:tcPr>
            <w:tcW w:w="1443" w:type="dxa"/>
            <w:tcBorders>
              <w:top w:val="nil"/>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01CC9">
              <w:rPr>
                <w:rFonts w:ascii="Times New Roman" w:hAnsi="Times New Roman"/>
                <w:sz w:val="20"/>
                <w:szCs w:val="20"/>
              </w:rPr>
              <w:t>14</w:t>
            </w:r>
          </w:p>
        </w:tc>
        <w:tc>
          <w:tcPr>
            <w:tcW w:w="4551" w:type="dxa"/>
            <w:tcBorders>
              <w:top w:val="nil"/>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01CC9">
              <w:rPr>
                <w:rFonts w:ascii="Times New Roman" w:hAnsi="Times New Roman"/>
                <w:sz w:val="20"/>
                <w:szCs w:val="20"/>
              </w:rPr>
              <w:t>Albumin, ALT, AST, Ammonia, Blood Bilirubin, BUN, Ca, CK-MB, CK, Glucose, Lipase, Platelets, Troponin, WBC</w:t>
            </w:r>
          </w:p>
        </w:tc>
      </w:tr>
      <w:tr w:rsidR="00325E83" w:rsidRPr="007F5B20" w:rsidTr="00DC383A">
        <w:trPr>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shd w:val="clear" w:color="auto" w:fill="auto"/>
            <w:vAlign w:val="center"/>
          </w:tcPr>
          <w:p w:rsidR="00325E83" w:rsidRPr="0041677C" w:rsidRDefault="00325E83" w:rsidP="00CB2A58">
            <w:pPr>
              <w:pStyle w:val="ListParagraph"/>
              <w:spacing w:after="60"/>
              <w:ind w:left="0"/>
              <w:contextualSpacing w:val="0"/>
              <w:jc w:val="both"/>
              <w:rPr>
                <w:rFonts w:ascii="Times New Roman" w:hAnsi="Times New Roman"/>
                <w:b w:val="0"/>
                <w:sz w:val="20"/>
                <w:szCs w:val="20"/>
              </w:rPr>
            </w:pPr>
            <w:r w:rsidRPr="0041677C">
              <w:rPr>
                <w:rFonts w:ascii="Times New Roman" w:hAnsi="Times New Roman"/>
                <w:b w:val="0"/>
                <w:sz w:val="20"/>
                <w:szCs w:val="20"/>
              </w:rPr>
              <w:t xml:space="preserve">Comorbidities </w:t>
            </w:r>
          </w:p>
        </w:tc>
        <w:tc>
          <w:tcPr>
            <w:tcW w:w="1443" w:type="dxa"/>
            <w:tcBorders>
              <w:top w:val="nil"/>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01CC9">
              <w:rPr>
                <w:rFonts w:ascii="Times New Roman" w:hAnsi="Times New Roman"/>
                <w:sz w:val="20"/>
                <w:szCs w:val="20"/>
              </w:rPr>
              <w:t>29</w:t>
            </w:r>
          </w:p>
        </w:tc>
        <w:tc>
          <w:tcPr>
            <w:tcW w:w="4551" w:type="dxa"/>
            <w:tcBorders>
              <w:top w:val="nil"/>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01CC9">
              <w:rPr>
                <w:rFonts w:ascii="Times New Roman" w:hAnsi="Times New Roman"/>
                <w:sz w:val="20"/>
                <w:szCs w:val="20"/>
              </w:rPr>
              <w:t>UHC comorbidity</w:t>
            </w:r>
          </w:p>
        </w:tc>
      </w:tr>
      <w:tr w:rsidR="00325E83" w:rsidRPr="007F5B20" w:rsidTr="00DC38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shd w:val="clear" w:color="auto" w:fill="auto"/>
            <w:vAlign w:val="center"/>
          </w:tcPr>
          <w:p w:rsidR="00325E83" w:rsidRPr="0041677C" w:rsidRDefault="00325E83" w:rsidP="00CB2A58">
            <w:pPr>
              <w:spacing w:after="60"/>
              <w:jc w:val="both"/>
              <w:rPr>
                <w:rFonts w:ascii="Times New Roman" w:hAnsi="Times New Roman" w:cs="Times New Roman"/>
                <w:b w:val="0"/>
                <w:sz w:val="20"/>
                <w:szCs w:val="20"/>
              </w:rPr>
            </w:pPr>
            <w:r w:rsidRPr="0041677C">
              <w:rPr>
                <w:rFonts w:ascii="Times New Roman" w:hAnsi="Times New Roman" w:cs="Times New Roman"/>
                <w:b w:val="0"/>
                <w:sz w:val="20"/>
                <w:szCs w:val="20"/>
              </w:rPr>
              <w:t>Admission diagnosis</w:t>
            </w:r>
          </w:p>
        </w:tc>
        <w:tc>
          <w:tcPr>
            <w:tcW w:w="1443" w:type="dxa"/>
            <w:tcBorders>
              <w:top w:val="nil"/>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01CC9">
              <w:rPr>
                <w:rFonts w:ascii="Times New Roman" w:hAnsi="Times New Roman"/>
                <w:sz w:val="20"/>
                <w:szCs w:val="20"/>
              </w:rPr>
              <w:t>315</w:t>
            </w:r>
          </w:p>
        </w:tc>
        <w:tc>
          <w:tcPr>
            <w:tcW w:w="4551" w:type="dxa"/>
            <w:tcBorders>
              <w:top w:val="nil"/>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01CC9">
              <w:rPr>
                <w:rFonts w:ascii="Times New Roman" w:hAnsi="Times New Roman"/>
                <w:sz w:val="20"/>
                <w:szCs w:val="20"/>
              </w:rPr>
              <w:t>UHC APR-DRG</w:t>
            </w:r>
          </w:p>
        </w:tc>
      </w:tr>
      <w:tr w:rsidR="00325E83" w:rsidRPr="007F5B20" w:rsidTr="00DC383A">
        <w:trPr>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shd w:val="clear" w:color="auto" w:fill="auto"/>
            <w:vAlign w:val="center"/>
          </w:tcPr>
          <w:p w:rsidR="00325E83" w:rsidRPr="0041677C" w:rsidRDefault="00325E83" w:rsidP="00CB2A58">
            <w:pPr>
              <w:spacing w:after="60"/>
              <w:jc w:val="both"/>
              <w:rPr>
                <w:rFonts w:ascii="Times New Roman" w:hAnsi="Times New Roman" w:cs="Times New Roman"/>
                <w:b w:val="0"/>
                <w:sz w:val="20"/>
                <w:szCs w:val="20"/>
              </w:rPr>
            </w:pPr>
            <w:r w:rsidRPr="0041677C">
              <w:rPr>
                <w:rFonts w:ascii="Times New Roman" w:hAnsi="Times New Roman" w:cs="Times New Roman"/>
                <w:b w:val="0"/>
                <w:sz w:val="20"/>
                <w:szCs w:val="20"/>
              </w:rPr>
              <w:t>Medications</w:t>
            </w:r>
          </w:p>
        </w:tc>
        <w:tc>
          <w:tcPr>
            <w:tcW w:w="1443" w:type="dxa"/>
            <w:tcBorders>
              <w:top w:val="nil"/>
              <w:bottom w:val="nil"/>
            </w:tcBorders>
            <w:shd w:val="clear" w:color="auto" w:fill="auto"/>
            <w:vAlign w:val="center"/>
          </w:tcPr>
          <w:p w:rsidR="00325E83" w:rsidRPr="00E01CC9" w:rsidRDefault="00DC383A" w:rsidP="00CB2A58">
            <w:pPr>
              <w:pStyle w:val="ListParagraph"/>
              <w:spacing w:after="60"/>
              <w:ind w:left="0"/>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1271</w:t>
            </w:r>
          </w:p>
        </w:tc>
        <w:tc>
          <w:tcPr>
            <w:tcW w:w="4551" w:type="dxa"/>
            <w:tcBorders>
              <w:top w:val="nil"/>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01CC9">
              <w:rPr>
                <w:rFonts w:ascii="Times New Roman" w:hAnsi="Times New Roman"/>
                <w:sz w:val="20"/>
                <w:szCs w:val="20"/>
              </w:rPr>
              <w:t xml:space="preserve">All medications are mapped to </w:t>
            </w:r>
            <w:proofErr w:type="spellStart"/>
            <w:r w:rsidRPr="00E01CC9">
              <w:rPr>
                <w:rFonts w:ascii="Times New Roman" w:hAnsi="Times New Roman"/>
                <w:sz w:val="20"/>
                <w:szCs w:val="20"/>
              </w:rPr>
              <w:t>RxNorm</w:t>
            </w:r>
            <w:proofErr w:type="spellEnd"/>
            <w:r w:rsidRPr="00E01CC9">
              <w:rPr>
                <w:rFonts w:ascii="Times New Roman" w:hAnsi="Times New Roman"/>
                <w:sz w:val="20"/>
                <w:szCs w:val="20"/>
              </w:rPr>
              <w:t xml:space="preserve"> ingredient</w:t>
            </w:r>
          </w:p>
        </w:tc>
      </w:tr>
      <w:tr w:rsidR="00DC383A" w:rsidRPr="007F5B20" w:rsidTr="00DC38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single" w:sz="8" w:space="0" w:color="000000" w:themeColor="text1"/>
            </w:tcBorders>
            <w:shd w:val="clear" w:color="auto" w:fill="auto"/>
            <w:vAlign w:val="center"/>
          </w:tcPr>
          <w:p w:rsidR="00DC383A" w:rsidRPr="00DC383A" w:rsidRDefault="00DC383A" w:rsidP="00DC383A">
            <w:pPr>
              <w:spacing w:after="60"/>
              <w:jc w:val="both"/>
              <w:rPr>
                <w:rFonts w:ascii="Times New Roman" w:hAnsi="Times New Roman" w:cs="Times New Roman"/>
                <w:b w:val="0"/>
                <w:sz w:val="20"/>
                <w:szCs w:val="20"/>
              </w:rPr>
            </w:pPr>
            <w:r>
              <w:rPr>
                <w:rFonts w:ascii="Times New Roman" w:hAnsi="Times New Roman" w:cs="Times New Roman"/>
                <w:b w:val="0"/>
                <w:sz w:val="20"/>
                <w:szCs w:val="20"/>
              </w:rPr>
              <w:t>Medical History</w:t>
            </w:r>
          </w:p>
        </w:tc>
        <w:tc>
          <w:tcPr>
            <w:tcW w:w="1443" w:type="dxa"/>
            <w:tcBorders>
              <w:top w:val="nil"/>
              <w:bottom w:val="single" w:sz="8" w:space="0" w:color="000000" w:themeColor="text1"/>
            </w:tcBorders>
            <w:shd w:val="clear" w:color="auto" w:fill="auto"/>
            <w:vAlign w:val="center"/>
          </w:tcPr>
          <w:p w:rsidR="00DC383A" w:rsidRPr="00E01CC9" w:rsidRDefault="00DC383A" w:rsidP="00CB2A58">
            <w:pPr>
              <w:pStyle w:val="ListParagraph"/>
              <w:spacing w:after="60"/>
              <w:ind w:left="0"/>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280</w:t>
            </w:r>
          </w:p>
        </w:tc>
        <w:tc>
          <w:tcPr>
            <w:tcW w:w="4551" w:type="dxa"/>
            <w:tcBorders>
              <w:top w:val="nil"/>
              <w:bottom w:val="single" w:sz="8" w:space="0" w:color="000000" w:themeColor="text1"/>
            </w:tcBorders>
            <w:shd w:val="clear" w:color="auto" w:fill="auto"/>
            <w:vAlign w:val="center"/>
          </w:tcPr>
          <w:p w:rsidR="00DC383A" w:rsidRPr="00E01CC9" w:rsidRDefault="00A9794E" w:rsidP="004E5631">
            <w:pPr>
              <w:pStyle w:val="ListParagraph"/>
              <w:spacing w:after="60"/>
              <w:ind w:left="0"/>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ICD9 codes mapped to CCS </w:t>
            </w:r>
            <w:r w:rsidR="004E5631">
              <w:rPr>
                <w:rFonts w:ascii="Times New Roman" w:hAnsi="Times New Roman"/>
                <w:sz w:val="20"/>
                <w:szCs w:val="20"/>
              </w:rPr>
              <w:t>major diagnoses</w:t>
            </w:r>
          </w:p>
        </w:tc>
      </w:tr>
    </w:tbl>
    <w:p w:rsidR="00325E83" w:rsidRDefault="00325E83" w:rsidP="00325E83">
      <w:pPr>
        <w:spacing w:after="0" w:line="240" w:lineRule="auto"/>
        <w:jc w:val="both"/>
        <w:rPr>
          <w:rFonts w:ascii="Times New Roman" w:hAnsi="Times New Roman" w:cs="Times New Roman"/>
          <w:sz w:val="20"/>
          <w:szCs w:val="18"/>
        </w:rPr>
      </w:pPr>
    </w:p>
    <w:p w:rsidR="00325E83" w:rsidRDefault="000463BE" w:rsidP="00325E83">
      <w:pPr>
        <w:spacing w:after="240" w:line="240" w:lineRule="auto"/>
        <w:jc w:val="both"/>
        <w:rPr>
          <w:rFonts w:ascii="Times New Roman" w:hAnsi="Times New Roman" w:cs="Times New Roman"/>
          <w:sz w:val="20"/>
          <w:szCs w:val="20"/>
        </w:rPr>
      </w:pPr>
      <w:r>
        <w:rPr>
          <w:rFonts w:ascii="Times New Roman" w:hAnsi="Times New Roman" w:cs="Times New Roman"/>
          <w:sz w:val="20"/>
          <w:szCs w:val="20"/>
        </w:rPr>
        <w:t>V</w:t>
      </w:r>
      <w:r w:rsidR="00325E83" w:rsidRPr="00D84F46">
        <w:rPr>
          <w:rFonts w:ascii="Times New Roman" w:hAnsi="Times New Roman" w:cs="Times New Roman"/>
          <w:sz w:val="20"/>
          <w:szCs w:val="20"/>
        </w:rPr>
        <w:t>itals, lab</w:t>
      </w:r>
      <w:r w:rsidR="007C51D8">
        <w:rPr>
          <w:rFonts w:ascii="Times New Roman" w:hAnsi="Times New Roman" w:cs="Times New Roman"/>
          <w:sz w:val="20"/>
          <w:szCs w:val="20"/>
        </w:rPr>
        <w:t>s</w:t>
      </w:r>
      <w:r w:rsidR="00325E83" w:rsidRPr="00D84F46">
        <w:rPr>
          <w:rFonts w:ascii="Times New Roman" w:hAnsi="Times New Roman" w:cs="Times New Roman"/>
          <w:sz w:val="20"/>
          <w:szCs w:val="20"/>
        </w:rPr>
        <w:t xml:space="preserve">, </w:t>
      </w:r>
      <w:r w:rsidR="00B003BE">
        <w:rPr>
          <w:rFonts w:ascii="Times New Roman" w:hAnsi="Times New Roman" w:cs="Times New Roman"/>
          <w:sz w:val="20"/>
          <w:szCs w:val="20"/>
        </w:rPr>
        <w:t xml:space="preserve">medical history </w:t>
      </w:r>
      <w:r w:rsidR="00325E83" w:rsidRPr="00D84F46">
        <w:rPr>
          <w:rFonts w:ascii="Times New Roman" w:hAnsi="Times New Roman" w:cs="Times New Roman"/>
          <w:sz w:val="20"/>
          <w:szCs w:val="20"/>
        </w:rPr>
        <w:t>and medication variables were time-</w:t>
      </w:r>
      <w:r w:rsidR="00325E83" w:rsidRPr="006F178D">
        <w:rPr>
          <w:rFonts w:ascii="Times New Roman" w:hAnsi="Times New Roman" w:cs="Times New Roman"/>
          <w:sz w:val="20"/>
          <w:szCs w:val="20"/>
        </w:rPr>
        <w:t xml:space="preserve">stamped relative </w:t>
      </w:r>
      <w:r w:rsidR="00325E83" w:rsidRPr="00D84F46">
        <w:rPr>
          <w:rFonts w:ascii="Times New Roman" w:hAnsi="Times New Roman" w:cs="Times New Roman"/>
          <w:sz w:val="20"/>
          <w:szCs w:val="20"/>
        </w:rPr>
        <w:t>to the admission date, referred here as time-dependent variables. Comorbidities, admission diagnosis, and demographics were presumed to be available at admission and not time-dependent.</w:t>
      </w:r>
    </w:p>
    <w:p w:rsidR="00325E83" w:rsidRDefault="00325E83" w:rsidP="00325E83">
      <w:pPr>
        <w:spacing w:after="120" w:line="240" w:lineRule="auto"/>
        <w:jc w:val="center"/>
        <w:rPr>
          <w:rFonts w:ascii="Times New Roman" w:hAnsi="Times New Roman" w:cs="Times New Roman"/>
          <w:sz w:val="20"/>
          <w:szCs w:val="20"/>
        </w:rPr>
      </w:pPr>
      <w:proofErr w:type="gramStart"/>
      <w:r w:rsidRPr="008C68A0">
        <w:rPr>
          <w:rFonts w:ascii="Times New Roman" w:hAnsi="Times New Roman" w:cs="Times New Roman"/>
          <w:b/>
          <w:sz w:val="20"/>
          <w:szCs w:val="20"/>
        </w:rPr>
        <w:t xml:space="preserve">Table </w:t>
      </w:r>
      <w:r w:rsidR="000D5F5E">
        <w:rPr>
          <w:rFonts w:ascii="Times New Roman" w:hAnsi="Times New Roman" w:cs="Times New Roman"/>
          <w:b/>
          <w:sz w:val="20"/>
          <w:szCs w:val="20"/>
        </w:rPr>
        <w:t>3</w:t>
      </w:r>
      <w:r w:rsidRPr="008C68A0">
        <w:rPr>
          <w:rFonts w:ascii="Times New Roman" w:hAnsi="Times New Roman" w:cs="Times New Roman"/>
          <w:b/>
          <w:sz w:val="20"/>
          <w:szCs w:val="20"/>
        </w:rPr>
        <w:t>.</w:t>
      </w:r>
      <w:proofErr w:type="gramEnd"/>
      <w:r w:rsidRPr="008C68A0">
        <w:rPr>
          <w:rFonts w:ascii="Times New Roman" w:hAnsi="Times New Roman" w:cs="Times New Roman"/>
          <w:sz w:val="20"/>
          <w:szCs w:val="20"/>
        </w:rPr>
        <w:t xml:space="preserve"> </w:t>
      </w:r>
      <w:r>
        <w:rPr>
          <w:rFonts w:ascii="Times New Roman" w:hAnsi="Times New Roman" w:cs="Times New Roman"/>
          <w:sz w:val="20"/>
          <w:szCs w:val="20"/>
        </w:rPr>
        <w:t xml:space="preserve">Categories for vital </w:t>
      </w:r>
      <w:r w:rsidR="008D146E">
        <w:rPr>
          <w:rFonts w:ascii="Times New Roman" w:hAnsi="Times New Roman" w:cs="Times New Roman"/>
          <w:sz w:val="20"/>
          <w:szCs w:val="20"/>
        </w:rPr>
        <w:t>signs</w:t>
      </w:r>
    </w:p>
    <w:tbl>
      <w:tblPr>
        <w:tblStyle w:val="1"/>
        <w:tblW w:w="7253" w:type="dxa"/>
        <w:jc w:val="center"/>
        <w:tblLayout w:type="fixed"/>
        <w:tblLook w:val="04A0" w:firstRow="1" w:lastRow="0" w:firstColumn="1" w:lastColumn="0" w:noHBand="0" w:noVBand="1"/>
      </w:tblPr>
      <w:tblGrid>
        <w:gridCol w:w="1493"/>
        <w:gridCol w:w="5760"/>
      </w:tblGrid>
      <w:tr w:rsidR="00325E83" w:rsidRPr="007F5B20" w:rsidTr="00CB2A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dxa"/>
            <w:tcBorders>
              <w:bottom w:val="single" w:sz="4" w:space="0" w:color="000000" w:themeColor="text1"/>
            </w:tcBorders>
            <w:vAlign w:val="center"/>
          </w:tcPr>
          <w:p w:rsidR="00325E83" w:rsidRPr="00E01CC9" w:rsidRDefault="00325E83" w:rsidP="00CB2A58">
            <w:pPr>
              <w:pStyle w:val="ListParagraph"/>
              <w:spacing w:after="60"/>
              <w:ind w:left="0"/>
              <w:contextualSpacing w:val="0"/>
              <w:jc w:val="both"/>
              <w:rPr>
                <w:rFonts w:ascii="Times New Roman" w:hAnsi="Times New Roman"/>
                <w:sz w:val="20"/>
                <w:szCs w:val="20"/>
              </w:rPr>
            </w:pPr>
            <w:r>
              <w:rPr>
                <w:rFonts w:ascii="Times New Roman" w:hAnsi="Times New Roman"/>
                <w:sz w:val="20"/>
                <w:szCs w:val="20"/>
              </w:rPr>
              <w:t>Vitals</w:t>
            </w:r>
          </w:p>
        </w:tc>
        <w:tc>
          <w:tcPr>
            <w:tcW w:w="5760" w:type="dxa"/>
            <w:tcBorders>
              <w:bottom w:val="single" w:sz="4" w:space="0" w:color="000000" w:themeColor="text1"/>
            </w:tcBorders>
            <w:vAlign w:val="center"/>
          </w:tcPr>
          <w:p w:rsidR="00325E83" w:rsidRPr="00E01CC9" w:rsidRDefault="00325E83" w:rsidP="00CB2A58">
            <w:pPr>
              <w:pStyle w:val="ListParagraph"/>
              <w:spacing w:after="60"/>
              <w:ind w:left="0"/>
              <w:contextualSpacing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Categories</w:t>
            </w:r>
          </w:p>
        </w:tc>
      </w:tr>
      <w:tr w:rsidR="00325E83" w:rsidRPr="007F5B20" w:rsidTr="00CB2A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dxa"/>
            <w:tcBorders>
              <w:top w:val="single" w:sz="4" w:space="0" w:color="000000" w:themeColor="text1"/>
              <w:bottom w:val="nil"/>
            </w:tcBorders>
            <w:shd w:val="clear" w:color="auto" w:fill="auto"/>
            <w:vAlign w:val="center"/>
          </w:tcPr>
          <w:p w:rsidR="00325E83" w:rsidRPr="0041677C" w:rsidRDefault="00325E83" w:rsidP="00CB2A58">
            <w:pPr>
              <w:pStyle w:val="ListParagraph"/>
              <w:spacing w:after="60"/>
              <w:ind w:left="0"/>
              <w:contextualSpacing w:val="0"/>
              <w:jc w:val="both"/>
              <w:rPr>
                <w:rFonts w:ascii="Times New Roman" w:hAnsi="Times New Roman"/>
                <w:b w:val="0"/>
                <w:sz w:val="20"/>
                <w:szCs w:val="20"/>
              </w:rPr>
            </w:pPr>
            <w:r>
              <w:rPr>
                <w:rFonts w:ascii="Times New Roman" w:hAnsi="Times New Roman"/>
                <w:b w:val="0"/>
                <w:sz w:val="20"/>
                <w:szCs w:val="20"/>
              </w:rPr>
              <w:t>BMI</w:t>
            </w:r>
          </w:p>
        </w:tc>
        <w:tc>
          <w:tcPr>
            <w:tcW w:w="5760" w:type="dxa"/>
            <w:tcBorders>
              <w:top w:val="single" w:sz="4" w:space="0" w:color="000000" w:themeColor="text1"/>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&lt;18.5, [18.5–24.9], [25.0–29.9], &gt;30.0, Unknown</w:t>
            </w:r>
          </w:p>
        </w:tc>
      </w:tr>
      <w:tr w:rsidR="00325E83" w:rsidRPr="007F5B20" w:rsidTr="00CB2A58">
        <w:trPr>
          <w:jc w:val="center"/>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shd w:val="clear" w:color="auto" w:fill="auto"/>
            <w:vAlign w:val="center"/>
          </w:tcPr>
          <w:p w:rsidR="00325E83" w:rsidRPr="0041677C" w:rsidRDefault="00325E83" w:rsidP="00CB2A58">
            <w:pPr>
              <w:pStyle w:val="ListParagraph"/>
              <w:spacing w:after="60"/>
              <w:ind w:left="0"/>
              <w:contextualSpacing w:val="0"/>
              <w:jc w:val="both"/>
              <w:rPr>
                <w:rFonts w:ascii="Times New Roman" w:hAnsi="Times New Roman"/>
                <w:b w:val="0"/>
                <w:sz w:val="20"/>
                <w:szCs w:val="20"/>
              </w:rPr>
            </w:pPr>
            <w:r>
              <w:rPr>
                <w:rFonts w:ascii="Times New Roman" w:hAnsi="Times New Roman"/>
                <w:b w:val="0"/>
                <w:sz w:val="20"/>
                <w:szCs w:val="20"/>
              </w:rPr>
              <w:t>Diastolic BP</w:t>
            </w:r>
          </w:p>
        </w:tc>
        <w:tc>
          <w:tcPr>
            <w:tcW w:w="5760" w:type="dxa"/>
            <w:tcBorders>
              <w:top w:val="nil"/>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&lt;80, [80–89], [90–99], &gt;100, Unknown</w:t>
            </w:r>
          </w:p>
        </w:tc>
      </w:tr>
      <w:tr w:rsidR="00325E83" w:rsidRPr="007F5B20" w:rsidTr="00CB2A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shd w:val="clear" w:color="auto" w:fill="auto"/>
            <w:vAlign w:val="center"/>
          </w:tcPr>
          <w:p w:rsidR="00325E83" w:rsidRPr="0041677C" w:rsidRDefault="00325E83" w:rsidP="00CB2A58">
            <w:pPr>
              <w:pStyle w:val="ListParagraph"/>
              <w:spacing w:after="60"/>
              <w:ind w:left="0"/>
              <w:contextualSpacing w:val="0"/>
              <w:jc w:val="both"/>
              <w:rPr>
                <w:rFonts w:ascii="Times New Roman" w:hAnsi="Times New Roman"/>
                <w:b w:val="0"/>
                <w:sz w:val="20"/>
                <w:szCs w:val="20"/>
              </w:rPr>
            </w:pPr>
            <w:r>
              <w:rPr>
                <w:rFonts w:ascii="Times New Roman" w:hAnsi="Times New Roman"/>
                <w:b w:val="0"/>
                <w:sz w:val="20"/>
                <w:szCs w:val="20"/>
              </w:rPr>
              <w:t>Systolic BP</w:t>
            </w:r>
          </w:p>
        </w:tc>
        <w:tc>
          <w:tcPr>
            <w:tcW w:w="5760" w:type="dxa"/>
            <w:tcBorders>
              <w:top w:val="nil"/>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&lt;120, [120–139], [140–159], &gt;160, Unknown</w:t>
            </w:r>
          </w:p>
        </w:tc>
      </w:tr>
      <w:tr w:rsidR="00325E83" w:rsidRPr="007F5B20" w:rsidTr="00CB2A58">
        <w:trPr>
          <w:jc w:val="center"/>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shd w:val="clear" w:color="auto" w:fill="auto"/>
            <w:vAlign w:val="center"/>
          </w:tcPr>
          <w:p w:rsidR="00325E83" w:rsidRPr="0041677C" w:rsidRDefault="00325E83" w:rsidP="00CB2A58">
            <w:pPr>
              <w:pStyle w:val="ListParagraph"/>
              <w:spacing w:after="60"/>
              <w:ind w:left="0"/>
              <w:contextualSpacing w:val="0"/>
              <w:jc w:val="both"/>
              <w:rPr>
                <w:rFonts w:ascii="Times New Roman" w:hAnsi="Times New Roman"/>
                <w:b w:val="0"/>
                <w:sz w:val="20"/>
                <w:szCs w:val="20"/>
              </w:rPr>
            </w:pPr>
            <w:r>
              <w:rPr>
                <w:rFonts w:ascii="Times New Roman" w:hAnsi="Times New Roman"/>
                <w:b w:val="0"/>
                <w:sz w:val="20"/>
                <w:szCs w:val="20"/>
              </w:rPr>
              <w:t>Pulse</w:t>
            </w:r>
          </w:p>
        </w:tc>
        <w:tc>
          <w:tcPr>
            <w:tcW w:w="5760" w:type="dxa"/>
            <w:tcBorders>
              <w:top w:val="nil"/>
              <w:bottom w:val="nil"/>
            </w:tcBorders>
            <w:shd w:val="clear" w:color="auto" w:fill="auto"/>
            <w:vAlign w:val="center"/>
          </w:tcPr>
          <w:p w:rsidR="00325E83" w:rsidRPr="00E01CC9" w:rsidRDefault="00325E83" w:rsidP="00CB2A58">
            <w:pPr>
              <w:pStyle w:val="ListParagraph"/>
              <w:spacing w:after="60"/>
              <w:ind w:left="0"/>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&lt;50, [50–65], [66–80], [81–100], &gt;100, Unknown</w:t>
            </w:r>
          </w:p>
        </w:tc>
      </w:tr>
      <w:tr w:rsidR="00325E83" w:rsidRPr="007F5B20" w:rsidTr="00CB2A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dxa"/>
            <w:tcBorders>
              <w:top w:val="nil"/>
              <w:bottom w:val="single" w:sz="8" w:space="0" w:color="000000" w:themeColor="text1"/>
            </w:tcBorders>
            <w:shd w:val="clear" w:color="auto" w:fill="auto"/>
            <w:vAlign w:val="center"/>
          </w:tcPr>
          <w:p w:rsidR="00325E83" w:rsidRPr="0041677C" w:rsidRDefault="00325E83" w:rsidP="00CB2A58">
            <w:pPr>
              <w:spacing w:after="60"/>
              <w:jc w:val="both"/>
              <w:rPr>
                <w:rFonts w:ascii="Times New Roman" w:hAnsi="Times New Roman" w:cs="Times New Roman"/>
                <w:b w:val="0"/>
                <w:sz w:val="20"/>
                <w:szCs w:val="20"/>
              </w:rPr>
            </w:pPr>
            <w:r>
              <w:rPr>
                <w:rFonts w:ascii="Times New Roman" w:hAnsi="Times New Roman" w:cs="Times New Roman"/>
                <w:b w:val="0"/>
                <w:sz w:val="20"/>
                <w:szCs w:val="20"/>
              </w:rPr>
              <w:t>Temperature</w:t>
            </w:r>
          </w:p>
        </w:tc>
        <w:tc>
          <w:tcPr>
            <w:tcW w:w="5760" w:type="dxa"/>
            <w:tcBorders>
              <w:top w:val="nil"/>
              <w:bottom w:val="single" w:sz="8" w:space="0" w:color="000000" w:themeColor="text1"/>
            </w:tcBorders>
            <w:shd w:val="clear" w:color="auto" w:fill="auto"/>
            <w:vAlign w:val="center"/>
          </w:tcPr>
          <w:p w:rsidR="00325E83" w:rsidRPr="00E01CC9" w:rsidRDefault="00325E83" w:rsidP="00CB2A58">
            <w:pPr>
              <w:pStyle w:val="ListParagraph"/>
              <w:spacing w:after="60"/>
              <w:ind w:left="0"/>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&lt;95.0, [95.0–97.6], [97.7–99.5], [99.5–104.0], &gt;104.0, Unknown</w:t>
            </w:r>
          </w:p>
        </w:tc>
      </w:tr>
    </w:tbl>
    <w:p w:rsidR="00C96440" w:rsidRDefault="00C96440" w:rsidP="00325E83">
      <w:pPr>
        <w:spacing w:after="0"/>
      </w:pPr>
    </w:p>
    <w:p w:rsidR="000D5F5E" w:rsidRDefault="000D5F5E" w:rsidP="00325E83">
      <w:pPr>
        <w:spacing w:after="0"/>
      </w:pPr>
      <w:bookmarkStart w:id="0" w:name="_GoBack"/>
      <w:bookmarkEnd w:id="0"/>
    </w:p>
    <w:p w:rsidR="00BE6970" w:rsidRPr="00BE6970" w:rsidRDefault="00BE6970" w:rsidP="00325E83">
      <w:pPr>
        <w:spacing w:after="0"/>
        <w:rPr>
          <w:b/>
        </w:rPr>
      </w:pPr>
      <w:r>
        <w:rPr>
          <w:b/>
        </w:rPr>
        <w:t>References</w:t>
      </w:r>
    </w:p>
    <w:p w:rsidR="005648E1" w:rsidRDefault="00BE6970" w:rsidP="00BE6970">
      <w:pPr>
        <w:pStyle w:val="ListParagraph"/>
        <w:numPr>
          <w:ilvl w:val="0"/>
          <w:numId w:val="2"/>
        </w:numPr>
        <w:spacing w:after="0"/>
        <w:ind w:left="360"/>
      </w:pPr>
      <w:r>
        <w:t xml:space="preserve">Waitman LR, Warren JJ, Manos EL, Connolly DW. Expressing observations from electronic medical record flowsheets in an i2b2 based clinical data repository to support research and quality improvement. AMIA </w:t>
      </w:r>
      <w:proofErr w:type="spellStart"/>
      <w:r>
        <w:t>Annu</w:t>
      </w:r>
      <w:proofErr w:type="spellEnd"/>
      <w:r>
        <w:t xml:space="preserve"> </w:t>
      </w:r>
      <w:proofErr w:type="spellStart"/>
      <w:r>
        <w:t>Symp</w:t>
      </w:r>
      <w:proofErr w:type="spellEnd"/>
      <w:r>
        <w:t xml:space="preserve"> Proc. 2011:1454-63, 2011.</w:t>
      </w:r>
    </w:p>
    <w:p w:rsidR="005648E1" w:rsidRDefault="005648E1" w:rsidP="00BE6970">
      <w:pPr>
        <w:pStyle w:val="ListParagraph"/>
        <w:numPr>
          <w:ilvl w:val="0"/>
          <w:numId w:val="2"/>
        </w:numPr>
        <w:spacing w:after="0"/>
        <w:ind w:left="360"/>
      </w:pPr>
      <w:r>
        <w:t>KDIGO</w:t>
      </w:r>
      <w:r w:rsidR="00BE6970">
        <w:t xml:space="preserve">: Kidney Disease: Improving Global Outcomes (KDIGO) Acute Kidney Injury Work Group. KDIGO clinical practice guideline for acute kidney injury. Kidney </w:t>
      </w:r>
      <w:proofErr w:type="spellStart"/>
      <w:r w:rsidR="00BE6970">
        <w:t>Int</w:t>
      </w:r>
      <w:proofErr w:type="spellEnd"/>
      <w:r w:rsidR="00BE6970">
        <w:t xml:space="preserve"> </w:t>
      </w:r>
      <w:proofErr w:type="spellStart"/>
      <w:r w:rsidR="00BE6970">
        <w:t>Suppl</w:t>
      </w:r>
      <w:proofErr w:type="spellEnd"/>
      <w:r w:rsidR="00BE6970">
        <w:t xml:space="preserve"> 2: 1-138, 2012.</w:t>
      </w:r>
    </w:p>
    <w:sectPr w:rsidR="00564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3262E"/>
    <w:multiLevelType w:val="hybridMultilevel"/>
    <w:tmpl w:val="54DA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B96FB1"/>
    <w:multiLevelType w:val="hybridMultilevel"/>
    <w:tmpl w:val="6DCA4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73D"/>
    <w:rsid w:val="000463BE"/>
    <w:rsid w:val="000D5F5E"/>
    <w:rsid w:val="001209A1"/>
    <w:rsid w:val="002B20D0"/>
    <w:rsid w:val="002C69E3"/>
    <w:rsid w:val="003021EC"/>
    <w:rsid w:val="00325E83"/>
    <w:rsid w:val="003D4686"/>
    <w:rsid w:val="00477F87"/>
    <w:rsid w:val="0049724A"/>
    <w:rsid w:val="004D7E8A"/>
    <w:rsid w:val="004E5631"/>
    <w:rsid w:val="005648E1"/>
    <w:rsid w:val="00581D54"/>
    <w:rsid w:val="005D4706"/>
    <w:rsid w:val="005E5CF8"/>
    <w:rsid w:val="00612120"/>
    <w:rsid w:val="00684DC3"/>
    <w:rsid w:val="00713AF3"/>
    <w:rsid w:val="00783B96"/>
    <w:rsid w:val="00797C88"/>
    <w:rsid w:val="007C51D8"/>
    <w:rsid w:val="00803EFD"/>
    <w:rsid w:val="00845C49"/>
    <w:rsid w:val="0084785B"/>
    <w:rsid w:val="008A75A6"/>
    <w:rsid w:val="008D146E"/>
    <w:rsid w:val="00A8136D"/>
    <w:rsid w:val="00A83A58"/>
    <w:rsid w:val="00A9794E"/>
    <w:rsid w:val="00B003BE"/>
    <w:rsid w:val="00B22B07"/>
    <w:rsid w:val="00BD5914"/>
    <w:rsid w:val="00BE6970"/>
    <w:rsid w:val="00C03070"/>
    <w:rsid w:val="00C1545C"/>
    <w:rsid w:val="00C21229"/>
    <w:rsid w:val="00C41037"/>
    <w:rsid w:val="00C47EC1"/>
    <w:rsid w:val="00C96440"/>
    <w:rsid w:val="00CF41AC"/>
    <w:rsid w:val="00D23779"/>
    <w:rsid w:val="00D34911"/>
    <w:rsid w:val="00D6418E"/>
    <w:rsid w:val="00D655EB"/>
    <w:rsid w:val="00DC2F62"/>
    <w:rsid w:val="00DC383A"/>
    <w:rsid w:val="00DC61CE"/>
    <w:rsid w:val="00DD2856"/>
    <w:rsid w:val="00F27596"/>
    <w:rsid w:val="00F32DEB"/>
    <w:rsid w:val="00FA073D"/>
    <w:rsid w:val="00FC7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5E83"/>
    <w:pPr>
      <w:ind w:left="720"/>
      <w:contextualSpacing/>
    </w:pPr>
    <w:rPr>
      <w:rFonts w:ascii="Calibri" w:eastAsia="SimSun" w:hAnsi="Calibri" w:cs="Times New Roman"/>
    </w:rPr>
  </w:style>
  <w:style w:type="character" w:customStyle="1" w:styleId="ListParagraphChar">
    <w:name w:val="List Paragraph Char"/>
    <w:link w:val="ListParagraph"/>
    <w:uiPriority w:val="34"/>
    <w:rsid w:val="00325E83"/>
    <w:rPr>
      <w:rFonts w:ascii="Calibri" w:eastAsia="SimSun" w:hAnsi="Calibri" w:cs="Times New Roman"/>
    </w:rPr>
  </w:style>
  <w:style w:type="table" w:customStyle="1" w:styleId="1">
    <w:name w:val="浅色底纹1"/>
    <w:basedOn w:val="TableNormal"/>
    <w:uiPriority w:val="60"/>
    <w:rsid w:val="00325E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D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856"/>
    <w:rPr>
      <w:rFonts w:ascii="Tahoma" w:hAnsi="Tahoma" w:cs="Tahoma"/>
      <w:sz w:val="16"/>
      <w:szCs w:val="16"/>
    </w:rPr>
  </w:style>
  <w:style w:type="table" w:styleId="LightShading">
    <w:name w:val="Light Shading"/>
    <w:basedOn w:val="TableNormal"/>
    <w:uiPriority w:val="60"/>
    <w:rsid w:val="00783B9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20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5E83"/>
    <w:pPr>
      <w:ind w:left="720"/>
      <w:contextualSpacing/>
    </w:pPr>
    <w:rPr>
      <w:rFonts w:ascii="Calibri" w:eastAsia="SimSun" w:hAnsi="Calibri" w:cs="Times New Roman"/>
    </w:rPr>
  </w:style>
  <w:style w:type="character" w:customStyle="1" w:styleId="ListParagraphChar">
    <w:name w:val="List Paragraph Char"/>
    <w:link w:val="ListParagraph"/>
    <w:uiPriority w:val="34"/>
    <w:rsid w:val="00325E83"/>
    <w:rPr>
      <w:rFonts w:ascii="Calibri" w:eastAsia="SimSun" w:hAnsi="Calibri" w:cs="Times New Roman"/>
    </w:rPr>
  </w:style>
  <w:style w:type="table" w:customStyle="1" w:styleId="1">
    <w:name w:val="浅色底纹1"/>
    <w:basedOn w:val="TableNormal"/>
    <w:uiPriority w:val="60"/>
    <w:rsid w:val="00325E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D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856"/>
    <w:rPr>
      <w:rFonts w:ascii="Tahoma" w:hAnsi="Tahoma" w:cs="Tahoma"/>
      <w:sz w:val="16"/>
      <w:szCs w:val="16"/>
    </w:rPr>
  </w:style>
  <w:style w:type="table" w:styleId="LightShading">
    <w:name w:val="Light Shading"/>
    <w:basedOn w:val="TableNormal"/>
    <w:uiPriority w:val="60"/>
    <w:rsid w:val="00783B9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20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Kansas Medical Center</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46</cp:revision>
  <dcterms:created xsi:type="dcterms:W3CDTF">2017-07-12T17:41:00Z</dcterms:created>
  <dcterms:modified xsi:type="dcterms:W3CDTF">2017-07-13T21:27:00Z</dcterms:modified>
</cp:coreProperties>
</file>