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8CAE" w14:textId="77777777" w:rsidR="000A106C" w:rsidRDefault="000A106C" w:rsidP="000A106C">
      <w:bookmarkStart w:id="0" w:name="_GoBack"/>
      <w:bookmarkEnd w:id="0"/>
      <w:r w:rsidRPr="00CD1686">
        <w:rPr>
          <w:rFonts w:hint="eastAsia"/>
          <w:b/>
        </w:rPr>
        <w:t>2. Materials and Methods</w:t>
      </w:r>
    </w:p>
    <w:p w14:paraId="1979CD53" w14:textId="77777777" w:rsidR="000A106C" w:rsidRPr="00CD1686" w:rsidRDefault="000A106C" w:rsidP="000A106C"/>
    <w:p w14:paraId="70C6A205" w14:textId="77777777" w:rsidR="000A106C" w:rsidRPr="00CD1686" w:rsidRDefault="000A106C" w:rsidP="000A106C">
      <w:pPr>
        <w:rPr>
          <w:i/>
        </w:rPr>
      </w:pPr>
      <w:r w:rsidRPr="00CD1686">
        <w:rPr>
          <w:rFonts w:hint="eastAsia"/>
          <w:i/>
        </w:rPr>
        <w:t>2.1 Animals</w:t>
      </w:r>
    </w:p>
    <w:p w14:paraId="0F4294DA" w14:textId="77777777" w:rsidR="000A106C" w:rsidRDefault="000A106C" w:rsidP="000A106C">
      <w:r w:rsidRPr="00A92CC5">
        <w:t xml:space="preserve">Adult male Sprague–Dawley rats weighing 200–250 g </w:t>
      </w:r>
      <w:proofErr w:type="gramStart"/>
      <w:r w:rsidRPr="00A92CC5">
        <w:t>were</w:t>
      </w:r>
      <w:proofErr w:type="gramEnd"/>
      <w:r w:rsidRPr="00A92CC5">
        <w:t xml:space="preserve"> obtained from </w:t>
      </w:r>
      <w:proofErr w:type="spellStart"/>
      <w:r w:rsidRPr="00A92CC5">
        <w:t>BioLASCO</w:t>
      </w:r>
      <w:proofErr w:type="spellEnd"/>
      <w:r w:rsidRPr="00A92CC5">
        <w:t xml:space="preserve"> Co., Ltd. (Taipei, Taiwan) and used in this study. All animal experiments were approved by the Institutional Animal Care and Use Committee of Taipei Medical University (approval no. LAC-2021-0259). The animals were cared for and handled in accordance with the guidelines of the National Institutes of Health for the care and use of laboratory animals.</w:t>
      </w:r>
    </w:p>
    <w:p w14:paraId="08552C91" w14:textId="77777777" w:rsidR="000A106C" w:rsidRPr="00CD1686" w:rsidRDefault="000A106C" w:rsidP="000A106C"/>
    <w:p w14:paraId="469B6116" w14:textId="77777777" w:rsidR="000A106C" w:rsidRPr="00CD1686" w:rsidRDefault="000A106C" w:rsidP="000A106C">
      <w:pPr>
        <w:rPr>
          <w:i/>
        </w:rPr>
      </w:pPr>
      <w:r w:rsidRPr="00CD1686">
        <w:rPr>
          <w:rFonts w:hint="eastAsia"/>
          <w:i/>
        </w:rPr>
        <w:t>2.2 U</w:t>
      </w:r>
      <w:r>
        <w:rPr>
          <w:i/>
        </w:rPr>
        <w:t>nilateral ureteral obstruction rat model</w:t>
      </w:r>
    </w:p>
    <w:p w14:paraId="51E85B7D" w14:textId="77777777" w:rsidR="000A106C" w:rsidRPr="00A92CC5" w:rsidRDefault="000A106C" w:rsidP="000A106C">
      <w:r>
        <w:t xml:space="preserve">  </w:t>
      </w:r>
      <w:r w:rsidRPr="00A92CC5">
        <w:t xml:space="preserve">Renal fibrosis was induced using a </w:t>
      </w:r>
      <w:r>
        <w:t>UUO</w:t>
      </w:r>
      <w:r w:rsidRPr="00A92CC5">
        <w:t xml:space="preserve"> rat model. Briefly, rats were anesthetized by intraperitoneal injection of </w:t>
      </w:r>
      <w:proofErr w:type="spellStart"/>
      <w:r w:rsidRPr="00A92CC5">
        <w:t>Zoletil</w:t>
      </w:r>
      <w:proofErr w:type="spellEnd"/>
      <w:r w:rsidRPr="00A92CC5">
        <w:t xml:space="preserve"> (</w:t>
      </w:r>
      <w:r w:rsidRPr="00A92CC5">
        <w:rPr>
          <w:b/>
          <w:bCs/>
        </w:rPr>
        <w:t>XX mg/kg</w:t>
      </w:r>
      <w:r w:rsidRPr="00A92CC5">
        <w:t>) and xylazine (</w:t>
      </w:r>
      <w:r w:rsidRPr="00A92CC5">
        <w:rPr>
          <w:b/>
          <w:bCs/>
        </w:rPr>
        <w:t>XX mg/kg</w:t>
      </w:r>
      <w:r w:rsidRPr="00A92CC5">
        <w:t>) and placed on a temperature-controlled operating table to maintain body temperature at 37 °C. After abdominal skin preparation, a midline laparotomy was performed to expose the right proximal ureter. The ureter was ligated at two separate sites using 3–0 black silk sutures (684G; Ethicon Inc., Johnson &amp; Johnson, Bridgewater, NJ, USA). Sham-operated rats underwent the same surgical procedure, including exposure of the right ureter, but without ureteral ligation.</w:t>
      </w:r>
    </w:p>
    <w:p w14:paraId="5A0AA3B9" w14:textId="77777777" w:rsidR="000A106C" w:rsidRPr="00CD1686" w:rsidRDefault="000A106C" w:rsidP="000A106C">
      <w:pPr>
        <w:rPr>
          <w:rFonts w:hint="eastAsia"/>
        </w:rPr>
      </w:pPr>
      <w:r>
        <w:t xml:space="preserve">  </w:t>
      </w:r>
      <w:r w:rsidRPr="00A92CC5">
        <w:t>At 7 days after surgery, the right kidneys were harvested from both UUO and sham-operated rats. The obstructed right kidneys from UUO rats and the corresponding right kidneys from sham-operated rats were processed for histopathological and transmission electron microscopic examination, and the remaining renal tissues were stored at −80 °C for subsequent analyses. Blood samples were collected by aortic puncture and centrifuged to obtain serum, which was stored at −80 °C until analysis. Blood urea nitrogen (BUN) and serum creatinine (</w:t>
      </w:r>
      <w:proofErr w:type="spellStart"/>
      <w:r w:rsidRPr="00A92CC5">
        <w:t>Scr</w:t>
      </w:r>
      <w:proofErr w:type="spellEnd"/>
      <w:r w:rsidRPr="00A92CC5">
        <w:t xml:space="preserve">) levels were measured using a </w:t>
      </w:r>
      <w:proofErr w:type="spellStart"/>
      <w:r w:rsidRPr="00A92CC5">
        <w:t>Vitros</w:t>
      </w:r>
      <w:proofErr w:type="spellEnd"/>
      <w:r w:rsidRPr="00A92CC5">
        <w:t xml:space="preserve"> 750 autoanalyzer (Johnson &amp; Johnson, New Brunswick, NJ, USA) to assess renal function.</w:t>
      </w:r>
    </w:p>
    <w:p w14:paraId="6537DDD3" w14:textId="77777777" w:rsidR="000A106C" w:rsidRPr="00CD1686" w:rsidRDefault="000A106C" w:rsidP="000A106C">
      <w:pPr>
        <w:rPr>
          <w:i/>
        </w:rPr>
      </w:pPr>
    </w:p>
    <w:p w14:paraId="2B45DDE4" w14:textId="77777777" w:rsidR="000A106C" w:rsidRPr="00CD1686" w:rsidRDefault="000A106C" w:rsidP="000A106C">
      <w:pPr>
        <w:rPr>
          <w:rFonts w:hint="eastAsia"/>
          <w:i/>
        </w:rPr>
      </w:pPr>
      <w:r w:rsidRPr="00CD1686">
        <w:rPr>
          <w:rFonts w:hint="eastAsia"/>
          <w:i/>
        </w:rPr>
        <w:t xml:space="preserve">2.3 </w:t>
      </w:r>
      <w:r w:rsidRPr="00CD1686">
        <w:rPr>
          <w:i/>
        </w:rPr>
        <w:t>Histopatholog</w:t>
      </w:r>
      <w:r>
        <w:rPr>
          <w:i/>
        </w:rPr>
        <w:t xml:space="preserve">ical examination </w:t>
      </w:r>
    </w:p>
    <w:p w14:paraId="325E3F6F" w14:textId="77777777" w:rsidR="000A106C" w:rsidRPr="004D2A17" w:rsidRDefault="000A106C" w:rsidP="000A106C">
      <w:r>
        <w:t xml:space="preserve">  </w:t>
      </w:r>
      <w:r w:rsidRPr="004D2A17">
        <w:t xml:space="preserve">Renal tissue sections were stained with hematoxylin and eosin (H&amp;E) and Masson’s trichrome according to standard protocols. Histopathological changes were evaluated under light microscopy using a </w:t>
      </w:r>
      <w:proofErr w:type="spellStart"/>
      <w:r w:rsidRPr="004D2A17">
        <w:t>MoticEasyScan</w:t>
      </w:r>
      <w:proofErr w:type="spellEnd"/>
      <w:r w:rsidRPr="004D2A17">
        <w:t xml:space="preserve"> Pro 6 slide scanner (</w:t>
      </w:r>
      <w:proofErr w:type="spellStart"/>
      <w:r w:rsidRPr="004D2A17">
        <w:t>Motic</w:t>
      </w:r>
      <w:proofErr w:type="spellEnd"/>
      <w:r w:rsidRPr="004D2A17">
        <w:t xml:space="preserve"> Instruments, Hong Kong SAR, China). H&amp;E-stained sections were used to assess renal tubular injury, whereas Masson’s trichrome-stained sections were used to evaluate renal interstitial fibrosis. All histological assessments were performed at ×100 magnification by an observer blinded to the experimental groups.</w:t>
      </w:r>
    </w:p>
    <w:p w14:paraId="64B4435D" w14:textId="77777777" w:rsidR="000A106C" w:rsidRPr="004D2A17" w:rsidRDefault="000A106C" w:rsidP="000A106C">
      <w:r>
        <w:t xml:space="preserve">  </w:t>
      </w:r>
      <w:r w:rsidRPr="004D2A17">
        <w:t xml:space="preserve">Renal tubular injury and renal interstitial fibrosis were semi-quantitatively </w:t>
      </w:r>
      <w:r w:rsidRPr="004D2A17">
        <w:lastRenderedPageBreak/>
        <w:t>evaluated using a previously described scoring system with minor modifications [</w:t>
      </w:r>
      <w:r>
        <w:t>14</w:t>
      </w:r>
      <w:r w:rsidRPr="004D2A17">
        <w:rPr>
          <w:rFonts w:hint="eastAsia"/>
        </w:rPr>
        <w:t>]</w:t>
      </w:r>
      <w:r w:rsidRPr="004D2A17">
        <w:t>. Tubular injury was assessed based on vacuolar degeneration, tubular necrosis, tubular dilatation, and tubular atrophy, and was scored according to the percentage of affected tubules as follows: 0, normal; 1, &lt;25%; 2, 25–49%; and 3, ≥50%. Renal interstitial fibrosis was assessed according to the extent of collagen deposition in the tubulointerstitial area on Masson’s trichrome-stained sections and was graded as follows: 0, no fibrosis; 1, &lt;25%; 2, 25–49%; 3, 50–74%; and 4, ≥75%.</w:t>
      </w:r>
    </w:p>
    <w:p w14:paraId="72892FE8" w14:textId="77777777" w:rsidR="000A106C" w:rsidRPr="00CD1686" w:rsidRDefault="000A106C" w:rsidP="000A106C">
      <w:pPr>
        <w:rPr>
          <w:rFonts w:hint="eastAsia"/>
        </w:rPr>
      </w:pPr>
    </w:p>
    <w:p w14:paraId="13FFD16B" w14:textId="77777777" w:rsidR="000A106C" w:rsidRPr="00CD1686" w:rsidRDefault="000A106C" w:rsidP="000A106C">
      <w:pPr>
        <w:rPr>
          <w:i/>
        </w:rPr>
      </w:pPr>
      <w:r w:rsidRPr="00CD1686">
        <w:rPr>
          <w:rFonts w:hint="eastAsia"/>
          <w:i/>
        </w:rPr>
        <w:t xml:space="preserve">2.4 </w:t>
      </w:r>
      <w:r w:rsidRPr="00CD1686">
        <w:rPr>
          <w:i/>
        </w:rPr>
        <w:t xml:space="preserve">Evaluation of mitochondrial morphology </w:t>
      </w:r>
      <w:r>
        <w:rPr>
          <w:i/>
        </w:rPr>
        <w:t>by</w:t>
      </w:r>
      <w:r w:rsidRPr="00CD1686">
        <w:rPr>
          <w:rFonts w:hint="eastAsia"/>
          <w:i/>
        </w:rPr>
        <w:t xml:space="preserve"> </w:t>
      </w:r>
      <w:r w:rsidRPr="00CD1686">
        <w:rPr>
          <w:i/>
        </w:rPr>
        <w:t>transmission electron microscopy</w:t>
      </w:r>
    </w:p>
    <w:p w14:paraId="5811AC58" w14:textId="77777777" w:rsidR="000A106C" w:rsidRPr="00524EF7" w:rsidRDefault="000A106C" w:rsidP="000A106C">
      <w:r>
        <w:t xml:space="preserve">  </w:t>
      </w:r>
      <w:r w:rsidRPr="00524EF7">
        <w:t>Mitochondrial morphology was evaluated in ipsilateral obstructed renal tissues from UUO rats and the corresponding right renal tissues from sham-operated rats by transmission electron microscopy (TEM). Briefly, ultrathin renal tissue sections from each experimental group were examined using a transmission electron microscope (Hitachi HT-7700; Hitachi, Ltd., Tokyo, Japan). The analysis focused on mitochondrial ultrastructural changes in renal tubular epithelial cells.</w:t>
      </w:r>
    </w:p>
    <w:p w14:paraId="390D87D5" w14:textId="77777777" w:rsidR="000A106C" w:rsidRPr="00524EF7" w:rsidRDefault="000A106C" w:rsidP="000A106C">
      <w:r>
        <w:t xml:space="preserve">  </w:t>
      </w:r>
      <w:r w:rsidRPr="00524EF7">
        <w:t>Mitochondrial structural deformity was defined as deformation or loss of mitochondrial cristae and/or disruption of the inner mitochondrial membrane, as previously described [</w:t>
      </w:r>
      <w:r>
        <w:t>13</w:t>
      </w:r>
      <w:r w:rsidRPr="00524EF7">
        <w:t>]. For quantitative analysis, five randomly selected non-overlapping fields measuring 2 μm² each were analyzed per specimen, and the number of structurally deformed mitochondria was counted.</w:t>
      </w:r>
    </w:p>
    <w:p w14:paraId="5720C461" w14:textId="77777777" w:rsidR="000A106C" w:rsidRDefault="000A106C" w:rsidP="000A106C"/>
    <w:p w14:paraId="1F1A9A74" w14:textId="77777777" w:rsidR="000A106C" w:rsidRDefault="000A106C" w:rsidP="000A106C"/>
    <w:p w14:paraId="5AA4061E" w14:textId="77777777" w:rsidR="000A106C" w:rsidRDefault="000A106C" w:rsidP="000A106C"/>
    <w:p w14:paraId="618B8CA8" w14:textId="77777777" w:rsidR="000A106C" w:rsidRPr="00CD1686" w:rsidRDefault="000A106C" w:rsidP="000A106C">
      <w:pPr>
        <w:rPr>
          <w:rFonts w:hint="eastAsia"/>
        </w:rPr>
      </w:pPr>
    </w:p>
    <w:p w14:paraId="419FE81E" w14:textId="77777777" w:rsidR="000A106C" w:rsidRPr="00CD1686" w:rsidRDefault="000A106C" w:rsidP="000A106C">
      <w:pPr>
        <w:rPr>
          <w:i/>
        </w:rPr>
      </w:pPr>
      <w:r w:rsidRPr="00CD1686">
        <w:rPr>
          <w:rFonts w:hint="eastAsia"/>
          <w:i/>
        </w:rPr>
        <w:t xml:space="preserve">2.5 </w:t>
      </w:r>
      <w:r w:rsidRPr="00CD1686">
        <w:rPr>
          <w:i/>
        </w:rPr>
        <w:t>LC–MS/MS analysis</w:t>
      </w:r>
    </w:p>
    <w:p w14:paraId="2E988DA2" w14:textId="77777777" w:rsidR="000A106C" w:rsidRPr="00AF63A4" w:rsidRDefault="000A106C" w:rsidP="000A106C">
      <w:r>
        <w:t xml:space="preserve">  </w:t>
      </w:r>
      <w:r w:rsidRPr="00AF63A4">
        <w:t xml:space="preserve">Protein extracts (10 </w:t>
      </w:r>
      <w:proofErr w:type="spellStart"/>
      <w:r w:rsidRPr="00AF63A4">
        <w:t>μg</w:t>
      </w:r>
      <w:proofErr w:type="spellEnd"/>
      <w:r w:rsidRPr="00AF63A4">
        <w:t xml:space="preserve">) obtained from ipsilateral obstructed renal tissues of UUO </w:t>
      </w:r>
      <w:proofErr w:type="gramStart"/>
      <w:r w:rsidRPr="00AF63A4">
        <w:t>rats</w:t>
      </w:r>
      <w:proofErr w:type="gramEnd"/>
      <w:r w:rsidRPr="00AF63A4">
        <w:t xml:space="preserve"> and the corresponding right renal tissues of sham-operated rats were subjected to in-solution digestion. Briefly, protein samples were diluted and digested with sequencing-grade modified porcine trypsin (Promega, Madison, WI, USA) at 37 °C for 16 h. The resulting peptides were desalted, dried by vacuum centrifugation, and stored at −80 °C until LC–MS/MS analysis.</w:t>
      </w:r>
    </w:p>
    <w:p w14:paraId="2D7E4550" w14:textId="77777777" w:rsidR="000A106C" w:rsidRPr="00AF63A4" w:rsidRDefault="000A106C" w:rsidP="000A106C">
      <w:r>
        <w:t xml:space="preserve">  </w:t>
      </w:r>
      <w:r w:rsidRPr="00AF63A4">
        <w:t>The tryptic peptides were reconstituted in high-performance liquid chromatography (HPLC) buffer A, consisting of 0.1% formic acid (Sigma-Aldrich, St. Louis, MO, USA), and loaded onto a reversed-phase trap column (</w:t>
      </w:r>
      <w:proofErr w:type="spellStart"/>
      <w:r w:rsidRPr="00AF63A4">
        <w:t>Zorbax</w:t>
      </w:r>
      <w:proofErr w:type="spellEnd"/>
      <w:r w:rsidRPr="00AF63A4">
        <w:t xml:space="preserve"> 300SB-C18, 0.3 × 5 mm; Agilent Technologies, Santa Clara, CA, USA). Peptide separation was performed using an in-house-packed reversed-phase analytical column (</w:t>
      </w:r>
      <w:proofErr w:type="spellStart"/>
      <w:r w:rsidRPr="00AF63A4">
        <w:t>HydroRP</w:t>
      </w:r>
      <w:proofErr w:type="spellEnd"/>
      <w:r w:rsidRPr="00AF63A4">
        <w:t xml:space="preserve">, 2.5 </w:t>
      </w:r>
      <w:proofErr w:type="spellStart"/>
      <w:r w:rsidRPr="00AF63A4">
        <w:t>μm</w:t>
      </w:r>
      <w:proofErr w:type="spellEnd"/>
      <w:r w:rsidRPr="00AF63A4">
        <w:t xml:space="preserve">, 75 </w:t>
      </w:r>
      <w:proofErr w:type="spellStart"/>
      <w:r w:rsidRPr="00AF63A4">
        <w:t>μm</w:t>
      </w:r>
      <w:proofErr w:type="spellEnd"/>
      <w:r w:rsidRPr="00AF63A4">
        <w:t xml:space="preserve"> inner diameter × 20 cm, with a 15-μm tip) on a </w:t>
      </w:r>
      <w:proofErr w:type="spellStart"/>
      <w:r w:rsidRPr="00AF63A4">
        <w:t>Dionex</w:t>
      </w:r>
      <w:proofErr w:type="spellEnd"/>
      <w:r w:rsidRPr="00AF63A4">
        <w:t xml:space="preserve"> RSLC system (</w:t>
      </w:r>
      <w:proofErr w:type="spellStart"/>
      <w:r w:rsidRPr="00AF63A4">
        <w:t>Thermo</w:t>
      </w:r>
      <w:proofErr w:type="spellEnd"/>
      <w:r w:rsidRPr="00AF63A4">
        <w:t xml:space="preserve"> Fisher Scientific, Waltham, MA, USA). Peptides were separated over a 70-</w:t>
      </w:r>
      <w:r w:rsidRPr="00AF63A4">
        <w:lastRenderedPageBreak/>
        <w:t>min multistep gradient using HPLC buffer B, consisting of 99.9% acetonitrile and 0.1% formic acid.</w:t>
      </w:r>
    </w:p>
    <w:p w14:paraId="6035D026" w14:textId="77777777" w:rsidR="000A106C" w:rsidRPr="00AF63A4" w:rsidRDefault="000A106C" w:rsidP="000A106C">
      <w:r>
        <w:t xml:space="preserve">  </w:t>
      </w:r>
      <w:r w:rsidRPr="00AF63A4">
        <w:t>The liquid chromatography system was coupled through an electrospray ionization interface to an Orbitrap Elite hybrid ion trap–Orbitrap mass spectrometer (</w:t>
      </w:r>
      <w:proofErr w:type="spellStart"/>
      <w:r w:rsidRPr="00AF63A4">
        <w:t>Thermo</w:t>
      </w:r>
      <w:proofErr w:type="spellEnd"/>
      <w:r w:rsidRPr="00AF63A4">
        <w:t xml:space="preserve"> Fisher Scientific) operated using </w:t>
      </w:r>
      <w:proofErr w:type="spellStart"/>
      <w:r w:rsidRPr="00AF63A4">
        <w:t>Xcalibur</w:t>
      </w:r>
      <w:proofErr w:type="spellEnd"/>
      <w:r w:rsidRPr="00AF63A4">
        <w:t xml:space="preserve"> 2.2 software (</w:t>
      </w:r>
      <w:proofErr w:type="spellStart"/>
      <w:r w:rsidRPr="00AF63A4">
        <w:t>Thermo</w:t>
      </w:r>
      <w:proofErr w:type="spellEnd"/>
      <w:r w:rsidRPr="00AF63A4">
        <w:t xml:space="preserve"> Fisher Scientific). MS analysis was performed in data-dependent acquisition mode. Each acquisition cycle consisted of one full MS scan followed by 20 MS/MS scans of the 20 most abundant precursor ions detected in the full MS scan. The automatic gain control target and maximum injection time were set to 3 × 10⁶ ions and 100 </w:t>
      </w:r>
      <w:proofErr w:type="spellStart"/>
      <w:r w:rsidRPr="00AF63A4">
        <w:t>ms</w:t>
      </w:r>
      <w:proofErr w:type="spellEnd"/>
      <w:r w:rsidRPr="00AF63A4">
        <w:t xml:space="preserve"> for full MS scans, and 3 × 10³ ions and 200 </w:t>
      </w:r>
      <w:proofErr w:type="spellStart"/>
      <w:r w:rsidRPr="00AF63A4">
        <w:t>ms</w:t>
      </w:r>
      <w:proofErr w:type="spellEnd"/>
      <w:r w:rsidRPr="00AF63A4">
        <w:t xml:space="preserve"> for MS/MS scans, respectively.</w:t>
      </w:r>
    </w:p>
    <w:p w14:paraId="27850CE8" w14:textId="77777777" w:rsidR="000A106C" w:rsidRPr="00CD1686" w:rsidRDefault="000A106C" w:rsidP="000A106C">
      <w:pPr>
        <w:rPr>
          <w:rFonts w:hint="eastAsia"/>
        </w:rPr>
      </w:pPr>
    </w:p>
    <w:p w14:paraId="03D36CD8" w14:textId="3066CA19" w:rsidR="000A106C" w:rsidRPr="000A106C" w:rsidRDefault="000A106C" w:rsidP="000A106C">
      <w:pPr>
        <w:rPr>
          <w:rFonts w:hint="eastAsia"/>
          <w:i/>
        </w:rPr>
      </w:pPr>
      <w:r w:rsidRPr="00CD1686">
        <w:rPr>
          <w:rFonts w:hint="eastAsia"/>
          <w:i/>
        </w:rPr>
        <w:t xml:space="preserve">2.6 </w:t>
      </w:r>
      <w:r w:rsidRPr="00CD1686">
        <w:rPr>
          <w:i/>
        </w:rPr>
        <w:t>Protein identification and quantitation</w:t>
      </w:r>
    </w:p>
    <w:p w14:paraId="61035BBB" w14:textId="55CBC145" w:rsidR="000A106C" w:rsidRPr="00AF63A4" w:rsidRDefault="000A106C" w:rsidP="000A106C">
      <w:r>
        <w:t xml:space="preserve">  </w:t>
      </w:r>
      <w:r w:rsidRPr="00AF63A4">
        <w:t>Protein identification and quantification were performed using Proteome Discoverer software version 2.2 (</w:t>
      </w:r>
      <w:proofErr w:type="spellStart"/>
      <w:r w:rsidRPr="00AF63A4">
        <w:t>Thermo</w:t>
      </w:r>
      <w:proofErr w:type="spellEnd"/>
      <w:r w:rsidRPr="00AF63A4">
        <w:t xml:space="preserve"> Fisher Scientific). MS/MS spectra were searched against the </w:t>
      </w:r>
      <w:proofErr w:type="spellStart"/>
      <w:r w:rsidRPr="00AF63A4">
        <w:t>SwissProt</w:t>
      </w:r>
      <w:proofErr w:type="spellEnd"/>
      <w:r w:rsidRPr="00AF63A4">
        <w:t xml:space="preserve"> database restricted to </w:t>
      </w:r>
      <w:r w:rsidRPr="00AF63A4">
        <w:rPr>
          <w:iCs/>
          <w:color w:val="FF0000"/>
          <w:u w:val="single"/>
        </w:rPr>
        <w:t xml:space="preserve">Mus </w:t>
      </w:r>
      <w:proofErr w:type="gramStart"/>
      <w:r w:rsidRPr="00AF63A4">
        <w:rPr>
          <w:iCs/>
          <w:color w:val="FF0000"/>
          <w:u w:val="single"/>
        </w:rPr>
        <w:t>musculus</w:t>
      </w:r>
      <w:r w:rsidRPr="00AF63A4">
        <w:rPr>
          <w:color w:val="FF0000"/>
        </w:rPr>
        <w:t xml:space="preserve"> </w:t>
      </w:r>
      <w:r>
        <w:rPr>
          <w:color w:val="FF0000"/>
        </w:rPr>
        <w:t>?</w:t>
      </w:r>
      <w:proofErr w:type="gramEnd"/>
      <w:r>
        <w:rPr>
          <w:color w:val="FF0000"/>
        </w:rPr>
        <w:t xml:space="preserve"> </w:t>
      </w:r>
      <w:proofErr w:type="gramStart"/>
      <w:r w:rsidRPr="00AF63A4">
        <w:rPr>
          <w:i/>
          <w:iCs/>
          <w:color w:val="FF0000"/>
        </w:rPr>
        <w:t>Rattus</w:t>
      </w:r>
      <w:proofErr w:type="gramEnd"/>
      <w:r w:rsidRPr="00AF63A4">
        <w:rPr>
          <w:i/>
          <w:iCs/>
          <w:color w:val="FF0000"/>
        </w:rPr>
        <w:t xml:space="preserve"> norvegicus</w:t>
      </w:r>
      <w:r w:rsidRPr="00AF63A4">
        <w:t> using the Mascot search engine version 2.5 (Matrix Science, London, UK). The database version, download date, and total number of sequences were recorded.</w:t>
      </w:r>
    </w:p>
    <w:p w14:paraId="58E2F6CA" w14:textId="77777777" w:rsidR="000A106C" w:rsidRPr="00AF63A4" w:rsidRDefault="000A106C" w:rsidP="000A106C">
      <w:r>
        <w:t xml:space="preserve">  </w:t>
      </w:r>
      <w:r w:rsidRPr="00AF63A4">
        <w:t>For peptide identification, precursor and fragment ion mass tolerances were set to 10 ppm and 0.5 Da, respectively. Trypsin was selected as the digestion enzyme, and up to two missed cleavages were allowed. Only rank-one peptide-spectrum matches with high confidence were retained. The overall false discovery rate was controlled at &lt;1%. Proteins identified by only a single peptide hit were excluded from further analysis.</w:t>
      </w:r>
    </w:p>
    <w:p w14:paraId="162285C4" w14:textId="77777777" w:rsidR="000A106C" w:rsidRPr="00AF63A4" w:rsidRDefault="000A106C" w:rsidP="000A106C">
      <w:r>
        <w:t xml:space="preserve">  </w:t>
      </w:r>
      <w:r w:rsidRPr="00AF63A4">
        <w:t>Relative protein abundance in renal tissues was estimated using label-free semi-quantitative analysis based on the spectral counting method [</w:t>
      </w:r>
      <w:r>
        <w:t>15</w:t>
      </w:r>
      <w:r w:rsidRPr="00AF63A4">
        <w:t>]. For each sample, the normalized spectral count of each protein was calculated by dividing the spectral count of a given protein by the total spectral counts of that sample and then multiplying by the average total spectral count across all samples. The fold change in normalized spectral count was calculated by comparing the UUO group with the sham group.</w:t>
      </w:r>
    </w:p>
    <w:p w14:paraId="457276A3" w14:textId="77777777" w:rsidR="000A106C" w:rsidRPr="00CD1686" w:rsidRDefault="000A106C" w:rsidP="000A106C">
      <w:pPr>
        <w:rPr>
          <w:rFonts w:hint="eastAsia"/>
        </w:rPr>
      </w:pPr>
    </w:p>
    <w:p w14:paraId="533E1B2A" w14:textId="77777777" w:rsidR="000A106C" w:rsidRPr="00B4332F" w:rsidRDefault="000A106C" w:rsidP="000A106C">
      <w:pPr>
        <w:rPr>
          <w:rFonts w:hint="eastAsia"/>
          <w:i/>
        </w:rPr>
      </w:pPr>
      <w:r w:rsidRPr="00CD1686">
        <w:rPr>
          <w:rFonts w:hint="eastAsia"/>
          <w:i/>
        </w:rPr>
        <w:t>2</w:t>
      </w:r>
      <w:r w:rsidRPr="00CD1686">
        <w:rPr>
          <w:i/>
        </w:rPr>
        <w:t>.7 Data analysis</w:t>
      </w:r>
    </w:p>
    <w:p w14:paraId="10A4ECD5" w14:textId="77777777" w:rsidR="000A106C" w:rsidRPr="00B4332F" w:rsidRDefault="000A106C" w:rsidP="000A106C">
      <w:r>
        <w:t xml:space="preserve">  </w:t>
      </w:r>
      <w:r w:rsidRPr="00B4332F">
        <w:t xml:space="preserve">To evaluate the global proteomic profiles and physiological responses of renal tissues after UUO surgery, principal component analysis (PCA), correlation coefficient analysis, hierarchical clustering, and heat map visualization were performed using the Statistical Analysis module of </w:t>
      </w:r>
      <w:proofErr w:type="spellStart"/>
      <w:r w:rsidRPr="00B4332F">
        <w:t>MetaboAnalyst</w:t>
      </w:r>
      <w:proofErr w:type="spellEnd"/>
      <w:r w:rsidRPr="00B4332F">
        <w:t xml:space="preserve"> 5.0 [</w:t>
      </w:r>
      <w:r>
        <w:t>16</w:t>
      </w:r>
      <w:r w:rsidRPr="00B4332F">
        <w:t xml:space="preserve">]. The normalized spectral count data obtained from ipsilateral obstructed renal tissues of UUO </w:t>
      </w:r>
      <w:proofErr w:type="gramStart"/>
      <w:r w:rsidRPr="00B4332F">
        <w:t>rats</w:t>
      </w:r>
      <w:proofErr w:type="gramEnd"/>
      <w:r w:rsidRPr="00B4332F">
        <w:t xml:space="preserve"> and the </w:t>
      </w:r>
      <w:r w:rsidRPr="00B4332F">
        <w:lastRenderedPageBreak/>
        <w:t>corresponding right renal tissues of sham-operated rats were used for these analyses.</w:t>
      </w:r>
    </w:p>
    <w:p w14:paraId="221E614D" w14:textId="77777777" w:rsidR="000A106C" w:rsidRPr="00B4332F" w:rsidRDefault="000A106C" w:rsidP="000A106C">
      <w:r>
        <w:t xml:space="preserve">  </w:t>
      </w:r>
      <w:r w:rsidRPr="00B4332F">
        <w:t>PCA was performed to visualize the overall distribution and clustering pattern of proteomic profiles between the UUO and sham groups. Correlation coefficient analysis was conducted to assess the similarity of protein expression patterns among samples. For hierarchical clustering and heat map generation, Ward’s clustering algorithm was applied using Pearson’s distance as the similarity measure.</w:t>
      </w:r>
    </w:p>
    <w:p w14:paraId="02878A1D" w14:textId="77777777" w:rsidR="000A106C" w:rsidRPr="00CD1686" w:rsidRDefault="000A106C" w:rsidP="000A106C">
      <w:pPr>
        <w:rPr>
          <w:rFonts w:hint="eastAsia"/>
        </w:rPr>
      </w:pPr>
    </w:p>
    <w:p w14:paraId="24CA246C" w14:textId="77777777" w:rsidR="000A106C" w:rsidRPr="00CD1686" w:rsidRDefault="000A106C" w:rsidP="000A106C">
      <w:pPr>
        <w:rPr>
          <w:i/>
        </w:rPr>
      </w:pPr>
      <w:r w:rsidRPr="00CD1686">
        <w:rPr>
          <w:rFonts w:hint="eastAsia"/>
          <w:i/>
        </w:rPr>
        <w:t>2.</w:t>
      </w:r>
      <w:r w:rsidRPr="00CD1686">
        <w:rPr>
          <w:i/>
        </w:rPr>
        <w:t>8</w:t>
      </w:r>
      <w:r w:rsidRPr="00CD1686">
        <w:rPr>
          <w:rFonts w:hint="eastAsia"/>
          <w:i/>
        </w:rPr>
        <w:t xml:space="preserve"> </w:t>
      </w:r>
      <w:r w:rsidRPr="00CD1686">
        <w:rPr>
          <w:i/>
        </w:rPr>
        <w:t xml:space="preserve">Functional enrichment analysis using Ingenuity Pathway Analysis </w:t>
      </w:r>
    </w:p>
    <w:p w14:paraId="79E40B51" w14:textId="77777777" w:rsidR="000A106C" w:rsidRPr="004F4F90" w:rsidRDefault="000A106C" w:rsidP="000A106C">
      <w:r>
        <w:rPr>
          <w:rFonts w:hint="eastAsia"/>
        </w:rPr>
        <w:t xml:space="preserve"> </w:t>
      </w:r>
      <w:r>
        <w:t xml:space="preserve"> </w:t>
      </w:r>
      <w:r w:rsidRPr="004F4F90">
        <w:t>Differentially expressed proteins were defined as proteins showing a fold change ≥2.0 or ≤0.5 in the UUO group compared with the sham group. These proteins were subjected to functional enrichment analysis using Ingenuity Pathway Analysis (IPA; Qiagen Inc., Valencia, CA, USA).</w:t>
      </w:r>
    </w:p>
    <w:p w14:paraId="3C93093A" w14:textId="77777777" w:rsidR="000A106C" w:rsidRPr="004F4F90" w:rsidRDefault="000A106C" w:rsidP="000A106C">
      <w:r>
        <w:t xml:space="preserve">  </w:t>
      </w:r>
      <w:r w:rsidRPr="004F4F90">
        <w:t>Canonical pathway enrichment was analyzed using the right-tailed Fisher’s exact test. The significance of pathway enrichment was expressed as −log10(</w:t>
      </w:r>
      <w:r w:rsidRPr="004F4F90">
        <w:rPr>
          <w:i/>
          <w:iCs/>
        </w:rPr>
        <w:t>P</w:t>
      </w:r>
      <w:r w:rsidRPr="004F4F90">
        <w:t> value), and pathways with −log10(</w:t>
      </w:r>
      <w:r w:rsidRPr="004F4F90">
        <w:rPr>
          <w:i/>
          <w:iCs/>
        </w:rPr>
        <w:t>P</w:t>
      </w:r>
      <w:r w:rsidRPr="004F4F90">
        <w:t> value) &gt;1.3, corresponding to </w:t>
      </w:r>
      <w:r w:rsidRPr="004F4F90">
        <w:rPr>
          <w:i/>
          <w:iCs/>
        </w:rPr>
        <w:t>P</w:t>
      </w:r>
      <w:r w:rsidRPr="004F4F90">
        <w:t> &lt; 0.05, were considered significantly enriched. The IPA activation </w:t>
      </w:r>
      <w:r w:rsidRPr="004F4F90">
        <w:rPr>
          <w:i/>
          <w:iCs/>
        </w:rPr>
        <w:t>z</w:t>
      </w:r>
      <w:r w:rsidRPr="004F4F90">
        <w:t>-score was used to indicate whether the enriched canonical pathways were predicted to be upregulated or downregulated. A positive </w:t>
      </w:r>
      <w:r w:rsidRPr="004F4F90">
        <w:rPr>
          <w:i/>
          <w:iCs/>
        </w:rPr>
        <w:t>z</w:t>
      </w:r>
      <w:r w:rsidRPr="004F4F90">
        <w:t>-score indicated predicted upregulation of the pathway, whereas a negative </w:t>
      </w:r>
      <w:r w:rsidRPr="004F4F90">
        <w:rPr>
          <w:i/>
          <w:iCs/>
        </w:rPr>
        <w:t>z</w:t>
      </w:r>
      <w:r w:rsidRPr="004F4F90">
        <w:t>-score indicated predicted downregulation.</w:t>
      </w:r>
    </w:p>
    <w:p w14:paraId="6FD5D800" w14:textId="77777777" w:rsidR="000A106C" w:rsidRPr="004F4F90" w:rsidRDefault="000A106C" w:rsidP="000A106C">
      <w:r>
        <w:t xml:space="preserve">  </w:t>
      </w:r>
      <w:r w:rsidRPr="004F4F90">
        <w:t>IPA toxicity function analysis was also performed using the Tox Lists module. Tox Lists consist of manually curated molecular sets associated with specific toxicological responses, including renal, hepatic, cardiac, and mitochondrial injury-related processes. In this study, Tox List analysis was used to identify toxicity-associated biological processes and mitochondrial dysfunction-related responses in ipsilateral obstructed renal tissues from UUO rats compared with the corresponding right renal tissues from sham-operated rats.</w:t>
      </w:r>
    </w:p>
    <w:p w14:paraId="79CC6159" w14:textId="77777777" w:rsidR="000A106C" w:rsidRPr="00CD1686" w:rsidRDefault="000A106C" w:rsidP="000A106C">
      <w:pPr>
        <w:rPr>
          <w:rFonts w:hint="eastAsia"/>
        </w:rPr>
      </w:pPr>
    </w:p>
    <w:p w14:paraId="30BF7C28" w14:textId="77777777" w:rsidR="000A106C" w:rsidRPr="00CD1686" w:rsidRDefault="000A106C" w:rsidP="000A106C">
      <w:pPr>
        <w:rPr>
          <w:i/>
        </w:rPr>
      </w:pPr>
      <w:r w:rsidRPr="00CD1686">
        <w:rPr>
          <w:rFonts w:hint="eastAsia"/>
          <w:i/>
        </w:rPr>
        <w:t>2.</w:t>
      </w:r>
      <w:r w:rsidRPr="00CD1686">
        <w:rPr>
          <w:i/>
        </w:rPr>
        <w:t>9</w:t>
      </w:r>
      <w:r w:rsidRPr="00CD1686">
        <w:rPr>
          <w:rFonts w:hint="eastAsia"/>
          <w:i/>
        </w:rPr>
        <w:t xml:space="preserve"> Western blotting assay</w:t>
      </w:r>
    </w:p>
    <w:p w14:paraId="3D0AE8DE" w14:textId="77777777" w:rsidR="000A106C" w:rsidRPr="004F4F90" w:rsidRDefault="000A106C" w:rsidP="000A106C">
      <w:pPr>
        <w:rPr>
          <w:color w:val="FF0000"/>
        </w:rPr>
      </w:pPr>
      <w:r>
        <w:t xml:space="preserve">  </w:t>
      </w:r>
      <w:r w:rsidRPr="004F4F90">
        <w:t>To validate the expression of OXPHOS complex-related proteins identified by proteomic and IPA analyses, Western blotting was performed using ipsilateral obstructed renal tissues from UUO rats and the corresponding right renal tissues from sham-operated rats.</w:t>
      </w:r>
    </w:p>
    <w:p w14:paraId="66945A6C" w14:textId="77777777" w:rsidR="000A106C" w:rsidRPr="004F4F90" w:rsidRDefault="000A106C" w:rsidP="000A106C">
      <w:r>
        <w:t xml:space="preserve">  </w:t>
      </w:r>
      <w:r w:rsidRPr="004F4F90">
        <w:t xml:space="preserve">Briefly, snap-frozen renal tissues were thawed and homogenized in protein extraction buffer. The homogenates were </w:t>
      </w:r>
      <w:r w:rsidRPr="004F4F90">
        <w:rPr>
          <w:color w:val="FF0000"/>
        </w:rPr>
        <w:t xml:space="preserve">heated, </w:t>
      </w:r>
      <w:r w:rsidRPr="004F4F90">
        <w:t xml:space="preserve">centrifuged, and the supernatants were collected for protein analysis. Protein concentrations were determined using a bicinchoninic acid protein assay kit (Pierce Chemical Co., Rockford, IL, USA). Equal amounts of protein were separated by SDS-PAGE and transferred onto nitrocellulose </w:t>
      </w:r>
      <w:r w:rsidRPr="004F4F90">
        <w:lastRenderedPageBreak/>
        <w:t>membranes (Bio-Rad Laboratories, Hercules, CA, USA).</w:t>
      </w:r>
    </w:p>
    <w:p w14:paraId="645DCFE7" w14:textId="77777777" w:rsidR="000A106C" w:rsidRPr="004F4F90" w:rsidRDefault="000A106C" w:rsidP="000A106C">
      <w:r>
        <w:t xml:space="preserve">  </w:t>
      </w:r>
      <w:r w:rsidRPr="004F4F90">
        <w:t xml:space="preserve">After blocking, the membranes were incubated overnight at 4 °C with </w:t>
      </w:r>
      <w:r w:rsidRPr="004F4F90">
        <w:rPr>
          <w:color w:val="FF0000"/>
        </w:rPr>
        <w:t>primary antibodies</w:t>
      </w:r>
      <w:r w:rsidRPr="004F4F90">
        <w:t xml:space="preserve"> against the selected OXPHOS complex-related proteins or GAPDH, which was used as the internal loading control (Sigma-Aldrich, St. Louis, MO, USA). The membranes were then incubated with appropriate</w:t>
      </w:r>
      <w:r w:rsidRPr="004F4F90">
        <w:rPr>
          <w:color w:val="FF0000"/>
        </w:rPr>
        <w:t xml:space="preserve"> secondary antibodies</w:t>
      </w:r>
      <w:r w:rsidRPr="004F4F90">
        <w:t xml:space="preserve">, and immunoreactive bands were detected using an enhanced chemiluminescence detection kit (ECL Plus kit; </w:t>
      </w:r>
      <w:proofErr w:type="spellStart"/>
      <w:r w:rsidRPr="004F4F90">
        <w:t>Amersham</w:t>
      </w:r>
      <w:proofErr w:type="spellEnd"/>
      <w:r w:rsidRPr="004F4F90">
        <w:t xml:space="preserve"> </w:t>
      </w:r>
      <w:proofErr w:type="spellStart"/>
      <w:r w:rsidRPr="004F4F90">
        <w:t>BioSciences</w:t>
      </w:r>
      <w:proofErr w:type="spellEnd"/>
      <w:r w:rsidRPr="004F4F90">
        <w:t>, Buckinghamshire, UK).</w:t>
      </w:r>
    </w:p>
    <w:p w14:paraId="7DFDB59E" w14:textId="77777777" w:rsidR="000A106C" w:rsidRPr="004F4F90" w:rsidRDefault="000A106C" w:rsidP="000A106C">
      <w:r>
        <w:t xml:space="preserve">  </w:t>
      </w:r>
      <w:r w:rsidRPr="004F4F90">
        <w:t xml:space="preserve">Chemiluminescent signals were captured using a UVP </w:t>
      </w:r>
      <w:proofErr w:type="spellStart"/>
      <w:r w:rsidRPr="004F4F90">
        <w:t>BioSpectrum</w:t>
      </w:r>
      <w:proofErr w:type="spellEnd"/>
      <w:r w:rsidRPr="004F4F90">
        <w:t xml:space="preserve"> 815 imaging system (Ultra-Violet Products Ltd., Upland, CA, USA), and band intensities were quantified using </w:t>
      </w:r>
      <w:proofErr w:type="spellStart"/>
      <w:r w:rsidRPr="004F4F90">
        <w:t>VisionWorks</w:t>
      </w:r>
      <w:proofErr w:type="spellEnd"/>
      <w:r w:rsidRPr="004F4F90">
        <w:t xml:space="preserve"> Life Science software (Ultra-Violet Products Ltd.). The expression levels of target proteins were normalized to GAPDH.</w:t>
      </w:r>
    </w:p>
    <w:p w14:paraId="58B12148" w14:textId="77777777" w:rsidR="006C4B1B" w:rsidRDefault="006C4B1B"/>
    <w:sectPr w:rsidR="006C4B1B" w:rsidSect="0066526E">
      <w:pgSz w:w="11900" w:h="16840"/>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6C"/>
    <w:rsid w:val="000244A5"/>
    <w:rsid w:val="00034F68"/>
    <w:rsid w:val="0004013C"/>
    <w:rsid w:val="000A106C"/>
    <w:rsid w:val="000C30C7"/>
    <w:rsid w:val="000C357A"/>
    <w:rsid w:val="001518AD"/>
    <w:rsid w:val="00154C49"/>
    <w:rsid w:val="001809EE"/>
    <w:rsid w:val="0018713C"/>
    <w:rsid w:val="001B1864"/>
    <w:rsid w:val="001E6400"/>
    <w:rsid w:val="001F380F"/>
    <w:rsid w:val="001F5456"/>
    <w:rsid w:val="0021654A"/>
    <w:rsid w:val="00235369"/>
    <w:rsid w:val="00246828"/>
    <w:rsid w:val="0024755B"/>
    <w:rsid w:val="0025267F"/>
    <w:rsid w:val="00264326"/>
    <w:rsid w:val="002710FE"/>
    <w:rsid w:val="00272ABE"/>
    <w:rsid w:val="00273F32"/>
    <w:rsid w:val="00282799"/>
    <w:rsid w:val="00282DA0"/>
    <w:rsid w:val="00285250"/>
    <w:rsid w:val="003001B1"/>
    <w:rsid w:val="0030275F"/>
    <w:rsid w:val="00320592"/>
    <w:rsid w:val="00343E4E"/>
    <w:rsid w:val="00363236"/>
    <w:rsid w:val="00374D65"/>
    <w:rsid w:val="00381255"/>
    <w:rsid w:val="003821EA"/>
    <w:rsid w:val="00386A0F"/>
    <w:rsid w:val="00396C14"/>
    <w:rsid w:val="003A0561"/>
    <w:rsid w:val="003A5E36"/>
    <w:rsid w:val="003B1969"/>
    <w:rsid w:val="003D4A65"/>
    <w:rsid w:val="003E028D"/>
    <w:rsid w:val="00402814"/>
    <w:rsid w:val="0042307D"/>
    <w:rsid w:val="004A389C"/>
    <w:rsid w:val="004B4832"/>
    <w:rsid w:val="004D63D5"/>
    <w:rsid w:val="005012A9"/>
    <w:rsid w:val="005149FC"/>
    <w:rsid w:val="00522558"/>
    <w:rsid w:val="0056791B"/>
    <w:rsid w:val="005830D8"/>
    <w:rsid w:val="00594059"/>
    <w:rsid w:val="00594446"/>
    <w:rsid w:val="00596DEC"/>
    <w:rsid w:val="005A1130"/>
    <w:rsid w:val="005D6F21"/>
    <w:rsid w:val="006042D0"/>
    <w:rsid w:val="0060790F"/>
    <w:rsid w:val="00632C65"/>
    <w:rsid w:val="006541E9"/>
    <w:rsid w:val="00656E3E"/>
    <w:rsid w:val="00660F31"/>
    <w:rsid w:val="0066526E"/>
    <w:rsid w:val="006937EE"/>
    <w:rsid w:val="006C3C36"/>
    <w:rsid w:val="006C4B1B"/>
    <w:rsid w:val="006D31BC"/>
    <w:rsid w:val="00734E87"/>
    <w:rsid w:val="00737B6E"/>
    <w:rsid w:val="00747B33"/>
    <w:rsid w:val="00750989"/>
    <w:rsid w:val="007533E4"/>
    <w:rsid w:val="00767544"/>
    <w:rsid w:val="007B1CE1"/>
    <w:rsid w:val="008008CA"/>
    <w:rsid w:val="008638DC"/>
    <w:rsid w:val="00885573"/>
    <w:rsid w:val="008912CA"/>
    <w:rsid w:val="008A058A"/>
    <w:rsid w:val="008A3A63"/>
    <w:rsid w:val="008C66DC"/>
    <w:rsid w:val="00904C9C"/>
    <w:rsid w:val="00922880"/>
    <w:rsid w:val="009262CF"/>
    <w:rsid w:val="009264EF"/>
    <w:rsid w:val="00926C48"/>
    <w:rsid w:val="00957922"/>
    <w:rsid w:val="00974C32"/>
    <w:rsid w:val="00996D94"/>
    <w:rsid w:val="009C25A8"/>
    <w:rsid w:val="009D157F"/>
    <w:rsid w:val="009E6040"/>
    <w:rsid w:val="00A44613"/>
    <w:rsid w:val="00A75AD3"/>
    <w:rsid w:val="00A76D16"/>
    <w:rsid w:val="00A9039A"/>
    <w:rsid w:val="00A95C7C"/>
    <w:rsid w:val="00AA4AAD"/>
    <w:rsid w:val="00AB472C"/>
    <w:rsid w:val="00AB4A78"/>
    <w:rsid w:val="00AC4DCA"/>
    <w:rsid w:val="00AC792D"/>
    <w:rsid w:val="00B360D6"/>
    <w:rsid w:val="00B45AA4"/>
    <w:rsid w:val="00B56A89"/>
    <w:rsid w:val="00B97C00"/>
    <w:rsid w:val="00BB6EF7"/>
    <w:rsid w:val="00BE7076"/>
    <w:rsid w:val="00C10490"/>
    <w:rsid w:val="00C30C37"/>
    <w:rsid w:val="00C31DF6"/>
    <w:rsid w:val="00C34783"/>
    <w:rsid w:val="00C40545"/>
    <w:rsid w:val="00C9791B"/>
    <w:rsid w:val="00CA2242"/>
    <w:rsid w:val="00CD12E1"/>
    <w:rsid w:val="00CF1C18"/>
    <w:rsid w:val="00D06970"/>
    <w:rsid w:val="00D1345C"/>
    <w:rsid w:val="00D16583"/>
    <w:rsid w:val="00D17FC6"/>
    <w:rsid w:val="00D36C88"/>
    <w:rsid w:val="00D4537A"/>
    <w:rsid w:val="00D51D51"/>
    <w:rsid w:val="00D64B8C"/>
    <w:rsid w:val="00D65842"/>
    <w:rsid w:val="00D6729D"/>
    <w:rsid w:val="00D80BEB"/>
    <w:rsid w:val="00D80C8E"/>
    <w:rsid w:val="00DA07D1"/>
    <w:rsid w:val="00DD54E0"/>
    <w:rsid w:val="00DE1251"/>
    <w:rsid w:val="00DE6AA1"/>
    <w:rsid w:val="00DF7EF9"/>
    <w:rsid w:val="00E44DC4"/>
    <w:rsid w:val="00E70382"/>
    <w:rsid w:val="00E90CB8"/>
    <w:rsid w:val="00EC6CBC"/>
    <w:rsid w:val="00ED5033"/>
    <w:rsid w:val="00EE5E35"/>
    <w:rsid w:val="00EF093B"/>
    <w:rsid w:val="00F206F9"/>
    <w:rsid w:val="00F3535C"/>
    <w:rsid w:val="00F65C37"/>
    <w:rsid w:val="00F86D93"/>
    <w:rsid w:val="00F9597E"/>
    <w:rsid w:val="00FE47C9"/>
    <w:rsid w:val="00FF77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C93667F"/>
  <w15:chartTrackingRefBased/>
  <w15:docId w15:val="{8731E537-D2F6-854A-9BE0-7C3A62210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106C"/>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1635</Words>
  <Characters>9325</Characters>
  <Application>Microsoft Office Word</Application>
  <DocSecurity>0</DocSecurity>
  <Lines>77</Lines>
  <Paragraphs>21</Paragraphs>
  <ScaleCrop>false</ScaleCrop>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宏仁 石</dc:creator>
  <cp:keywords/>
  <dc:description/>
  <cp:lastModifiedBy>宏仁 石</cp:lastModifiedBy>
  <cp:revision>1</cp:revision>
  <dcterms:created xsi:type="dcterms:W3CDTF">2026-05-05T10:08:00Z</dcterms:created>
  <dcterms:modified xsi:type="dcterms:W3CDTF">2026-05-05T10:09:00Z</dcterms:modified>
</cp:coreProperties>
</file>