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3DFB" w14:textId="4E697A16" w:rsidR="007C7C96" w:rsidRDefault="007C7C96" w:rsidP="00671EA3">
      <w:pPr>
        <w:pBdr>
          <w:bottom w:val="single" w:sz="6" w:space="1" w:color="auto"/>
        </w:pBdr>
        <w:spacing w:line="0" w:lineRule="atLeast"/>
        <w:jc w:val="right"/>
        <w:rPr>
          <w:sz w:val="20"/>
        </w:rPr>
      </w:pPr>
      <w:r>
        <w:rPr>
          <w:rFonts w:hAnsi="新細明體"/>
          <w:sz w:val="20"/>
        </w:rPr>
        <w:t>修訂：</w:t>
      </w:r>
      <w:r w:rsidR="004550AD">
        <w:rPr>
          <w:rFonts w:hint="eastAsia"/>
          <w:sz w:val="20"/>
        </w:rPr>
        <w:t>10</w:t>
      </w:r>
      <w:r w:rsidR="00763E2E">
        <w:rPr>
          <w:rFonts w:hint="eastAsia"/>
          <w:sz w:val="20"/>
        </w:rPr>
        <w:t>6</w:t>
      </w:r>
      <w:r>
        <w:rPr>
          <w:sz w:val="20"/>
        </w:rPr>
        <w:t>/1</w:t>
      </w:r>
      <w:r w:rsidR="004550AD">
        <w:rPr>
          <w:rFonts w:hint="eastAsia"/>
          <w:sz w:val="20"/>
        </w:rPr>
        <w:t>2</w:t>
      </w:r>
    </w:p>
    <w:p w14:paraId="57A8A7E4"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E4031C">
        <w:rPr>
          <w:rFonts w:hint="eastAsia"/>
        </w:rPr>
        <w:t>張肇源</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551F7315" w14:textId="77777777" w:rsidTr="00356FDA">
        <w:trPr>
          <w:cantSplit/>
          <w:trHeight w:val="102"/>
          <w:jc w:val="center"/>
        </w:trPr>
        <w:tc>
          <w:tcPr>
            <w:tcW w:w="1456" w:type="dxa"/>
          </w:tcPr>
          <w:p w14:paraId="7C3DAA45" w14:textId="67D29B8A"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64BA0E1A" w14:textId="77777777" w:rsidR="002B6113" w:rsidRPr="00EB0B2C" w:rsidRDefault="00E4031C" w:rsidP="00776154">
            <w:pPr>
              <w:spacing w:line="0" w:lineRule="atLeast"/>
              <w:jc w:val="both"/>
              <w:rPr>
                <w:b/>
                <w:sz w:val="20"/>
                <w:lang w:val="es-ES"/>
              </w:rPr>
            </w:pPr>
            <w:r>
              <w:rPr>
                <w:rFonts w:hint="eastAsia"/>
                <w:b/>
                <w:sz w:val="20"/>
                <w:lang w:val="es-ES"/>
              </w:rPr>
              <w:t>E11</w:t>
            </w:r>
          </w:p>
        </w:tc>
        <w:tc>
          <w:tcPr>
            <w:tcW w:w="259" w:type="dxa"/>
            <w:vMerge w:val="restart"/>
          </w:tcPr>
          <w:p w14:paraId="50BBF128" w14:textId="77777777" w:rsidR="002B6113" w:rsidRPr="00EB0B2C" w:rsidRDefault="002B6113" w:rsidP="00356FDA">
            <w:pPr>
              <w:spacing w:line="0" w:lineRule="atLeast"/>
              <w:jc w:val="right"/>
              <w:rPr>
                <w:b/>
                <w:sz w:val="20"/>
                <w:lang w:val="es-ES"/>
              </w:rPr>
            </w:pPr>
          </w:p>
        </w:tc>
      </w:tr>
      <w:tr w:rsidR="002B6113" w14:paraId="41193EC8" w14:textId="77777777" w:rsidTr="00356FDA">
        <w:trPr>
          <w:cantSplit/>
          <w:trHeight w:val="102"/>
          <w:jc w:val="center"/>
        </w:trPr>
        <w:tc>
          <w:tcPr>
            <w:tcW w:w="1456" w:type="dxa"/>
          </w:tcPr>
          <w:p w14:paraId="328EC785" w14:textId="77777777"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2A88F975" w14:textId="77777777" w:rsidR="002B6113" w:rsidRPr="00EB0B2C" w:rsidRDefault="00D30D92" w:rsidP="00356FDA">
            <w:pPr>
              <w:spacing w:line="0" w:lineRule="atLeast"/>
              <w:jc w:val="both"/>
              <w:rPr>
                <w:b/>
                <w:sz w:val="20"/>
                <w:lang w:val="es-ES"/>
              </w:rPr>
            </w:pPr>
            <w:r>
              <w:rPr>
                <w:rFonts w:hint="eastAsia"/>
                <w:b/>
                <w:sz w:val="20"/>
                <w:lang w:val="es-ES"/>
              </w:rPr>
              <w:t>重點研究計畫</w:t>
            </w:r>
            <w:r w:rsidR="000428A5">
              <w:rPr>
                <w:rFonts w:hint="eastAsia"/>
                <w:b/>
                <w:sz w:val="20"/>
                <w:lang w:val="es-ES"/>
              </w:rPr>
              <w:t>-</w:t>
            </w:r>
            <w:r w:rsidR="000428A5">
              <w:rPr>
                <w:rFonts w:hint="eastAsia"/>
                <w:b/>
                <w:sz w:val="20"/>
                <w:lang w:val="es-ES"/>
              </w:rPr>
              <w:t>重點組</w:t>
            </w:r>
          </w:p>
        </w:tc>
        <w:tc>
          <w:tcPr>
            <w:tcW w:w="259" w:type="dxa"/>
            <w:vMerge/>
          </w:tcPr>
          <w:p w14:paraId="63D6C38F" w14:textId="77777777" w:rsidR="002B6113" w:rsidRPr="00EB0B2C" w:rsidRDefault="002B6113" w:rsidP="00356FDA">
            <w:pPr>
              <w:spacing w:line="0" w:lineRule="atLeast"/>
              <w:jc w:val="right"/>
              <w:rPr>
                <w:b/>
                <w:sz w:val="20"/>
                <w:lang w:val="es-ES"/>
              </w:rPr>
            </w:pPr>
          </w:p>
        </w:tc>
      </w:tr>
      <w:tr w:rsidR="002B6113" w14:paraId="1DC0FDA4" w14:textId="77777777" w:rsidTr="00356FDA">
        <w:trPr>
          <w:cantSplit/>
          <w:trHeight w:val="134"/>
          <w:jc w:val="center"/>
        </w:trPr>
        <w:tc>
          <w:tcPr>
            <w:tcW w:w="1456" w:type="dxa"/>
          </w:tcPr>
          <w:p w14:paraId="008A65D6"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58717ACA" w14:textId="77777777" w:rsidR="002B6113" w:rsidRPr="00EB0B2C" w:rsidRDefault="00E4031C" w:rsidP="00356FDA">
            <w:pPr>
              <w:spacing w:line="0" w:lineRule="atLeast"/>
              <w:jc w:val="both"/>
              <w:rPr>
                <w:b/>
                <w:sz w:val="20"/>
                <w:lang w:val="es-ES"/>
              </w:rPr>
            </w:pPr>
            <w:r>
              <w:rPr>
                <w:rFonts w:hint="eastAsia"/>
                <w:b/>
                <w:sz w:val="20"/>
                <w:lang w:val="es-ES"/>
              </w:rPr>
              <w:t>林冠州</w:t>
            </w:r>
          </w:p>
        </w:tc>
        <w:tc>
          <w:tcPr>
            <w:tcW w:w="259" w:type="dxa"/>
            <w:vMerge/>
          </w:tcPr>
          <w:p w14:paraId="14806C21" w14:textId="77777777" w:rsidR="002B6113" w:rsidRPr="00EB0B2C" w:rsidRDefault="002B6113" w:rsidP="00356FDA">
            <w:pPr>
              <w:spacing w:line="0" w:lineRule="atLeast"/>
              <w:jc w:val="center"/>
              <w:rPr>
                <w:b/>
                <w:sz w:val="20"/>
                <w:lang w:val="es-ES"/>
              </w:rPr>
            </w:pPr>
          </w:p>
        </w:tc>
      </w:tr>
      <w:tr w:rsidR="002B6113" w14:paraId="541F9497" w14:textId="77777777" w:rsidTr="00356FDA">
        <w:trPr>
          <w:cantSplit/>
          <w:trHeight w:val="287"/>
          <w:jc w:val="center"/>
        </w:trPr>
        <w:tc>
          <w:tcPr>
            <w:tcW w:w="1456" w:type="dxa"/>
          </w:tcPr>
          <w:p w14:paraId="0FCF3347" w14:textId="77777777" w:rsidR="002B6113" w:rsidRDefault="002B6113" w:rsidP="00356FDA">
            <w:pPr>
              <w:spacing w:line="0" w:lineRule="atLeast"/>
              <w:jc w:val="both"/>
              <w:rPr>
                <w:b/>
                <w:sz w:val="20"/>
                <w:lang w:val="es-ES"/>
              </w:rPr>
            </w:pPr>
            <w:r>
              <w:rPr>
                <w:rFonts w:hint="eastAsia"/>
                <w:b/>
                <w:sz w:val="20"/>
              </w:rPr>
              <w:t>共同主持人：</w:t>
            </w:r>
          </w:p>
        </w:tc>
        <w:tc>
          <w:tcPr>
            <w:tcW w:w="8629" w:type="dxa"/>
          </w:tcPr>
          <w:p w14:paraId="1AEEF533" w14:textId="77777777" w:rsidR="002B6113" w:rsidRDefault="00E4031C" w:rsidP="00356FDA">
            <w:pPr>
              <w:spacing w:line="0" w:lineRule="atLeast"/>
              <w:jc w:val="both"/>
              <w:rPr>
                <w:b/>
                <w:sz w:val="20"/>
                <w:lang w:val="es-ES"/>
              </w:rPr>
            </w:pPr>
            <w:r>
              <w:rPr>
                <w:rFonts w:hint="eastAsia"/>
                <w:b/>
                <w:sz w:val="20"/>
                <w:lang w:val="es-ES"/>
              </w:rPr>
              <w:t>吳駿翃</w:t>
            </w:r>
          </w:p>
        </w:tc>
        <w:tc>
          <w:tcPr>
            <w:tcW w:w="259" w:type="dxa"/>
            <w:vMerge/>
          </w:tcPr>
          <w:p w14:paraId="5C41672A" w14:textId="77777777" w:rsidR="002B6113" w:rsidRPr="00EB0B2C" w:rsidRDefault="002B6113" w:rsidP="00356FDA">
            <w:pPr>
              <w:spacing w:line="0" w:lineRule="atLeast"/>
              <w:jc w:val="center"/>
              <w:rPr>
                <w:b/>
                <w:sz w:val="20"/>
                <w:lang w:val="es-ES"/>
              </w:rPr>
            </w:pPr>
          </w:p>
        </w:tc>
      </w:tr>
      <w:tr w:rsidR="002B6113" w14:paraId="59DC6041" w14:textId="77777777" w:rsidTr="00356FDA">
        <w:trPr>
          <w:jc w:val="center"/>
        </w:trPr>
        <w:tc>
          <w:tcPr>
            <w:tcW w:w="1456" w:type="dxa"/>
          </w:tcPr>
          <w:p w14:paraId="5A9458FE" w14:textId="702FA301"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0826F6F2" w14:textId="77777777" w:rsidR="002B6113" w:rsidRPr="00EB0B2C" w:rsidRDefault="00E4031C" w:rsidP="00356FDA">
            <w:pPr>
              <w:spacing w:line="0" w:lineRule="atLeast"/>
              <w:jc w:val="both"/>
              <w:rPr>
                <w:b/>
                <w:sz w:val="20"/>
                <w:lang w:val="es-ES"/>
              </w:rPr>
            </w:pPr>
            <w:r w:rsidRPr="00E4031C">
              <w:rPr>
                <w:rFonts w:hint="eastAsia"/>
                <w:b/>
                <w:sz w:val="20"/>
                <w:lang w:val="es-ES"/>
              </w:rPr>
              <w:t>探討魚針草酸標靶</w:t>
            </w:r>
            <w:r w:rsidRPr="00E4031C">
              <w:rPr>
                <w:rFonts w:hint="eastAsia"/>
                <w:b/>
                <w:sz w:val="20"/>
                <w:lang w:val="es-ES"/>
              </w:rPr>
              <w:t>Rab27</w:t>
            </w:r>
            <w:r w:rsidRPr="00E4031C">
              <w:rPr>
                <w:rFonts w:hint="eastAsia"/>
                <w:b/>
                <w:sz w:val="20"/>
                <w:lang w:val="es-ES"/>
              </w:rPr>
              <w:t>訊號傳導路徑所介導之癌相關纖維母細胞致癌外泌體的生合成以達到克服頭頸癌細胞抗藥性之精準醫療</w:t>
            </w:r>
            <w:r w:rsidR="00CB4056">
              <w:rPr>
                <w:b/>
                <w:sz w:val="20"/>
                <w:highlight w:val="yellow"/>
                <w:lang w:val="es-ES"/>
              </w:rPr>
              <w:t>(</w:t>
            </w:r>
            <w:r w:rsidR="00CB4056">
              <w:rPr>
                <w:rFonts w:hint="eastAsia"/>
                <w:b/>
                <w:sz w:val="20"/>
                <w:highlight w:val="yellow"/>
                <w:lang w:val="es-ES"/>
              </w:rPr>
              <w:t>申請三年期計畫</w:t>
            </w:r>
            <w:r w:rsidR="00CB4056">
              <w:rPr>
                <w:b/>
                <w:sz w:val="20"/>
                <w:highlight w:val="yellow"/>
                <w:lang w:val="es-ES"/>
              </w:rPr>
              <w:t>)</w:t>
            </w:r>
          </w:p>
        </w:tc>
      </w:tr>
    </w:tbl>
    <w:p w14:paraId="76657C3F" w14:textId="77777777" w:rsidR="00702366" w:rsidRDefault="00000000" w:rsidP="009B6BD0">
      <w:pPr>
        <w:tabs>
          <w:tab w:val="left" w:pos="3240"/>
        </w:tabs>
        <w:spacing w:line="120" w:lineRule="auto"/>
        <w:jc w:val="right"/>
        <w:rPr>
          <w:rFonts w:eastAsia="標楷體"/>
          <w:sz w:val="22"/>
        </w:rPr>
      </w:pPr>
      <w:r>
        <w:rPr>
          <w:rFonts w:eastAsia="標楷體"/>
          <w:noProof/>
        </w:rPr>
        <w:pict w14:anchorId="4A893A8D">
          <v:line id="_x0000_s2134" style="position:absolute;left:0;text-align:left;z-index:251657728;mso-position-horizontal-relative:text;mso-position-vertical-relative:text" from="-6pt,5.25pt" to="522pt,5.25pt">
            <v:stroke startarrowwidth="narrow" startarrowlength="short" endarrowwidth="narrow" endarrowlength="short"/>
          </v:line>
        </w:pict>
      </w:r>
      <w:r w:rsidR="00702366">
        <w:rPr>
          <w:rFonts w:eastAsia="標楷體" w:hint="eastAsia"/>
        </w:rPr>
        <w:t xml:space="preserve"> </w:t>
      </w:r>
    </w:p>
    <w:p w14:paraId="2E5C6689" w14:textId="77777777"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0"/>
        <w:gridCol w:w="6455"/>
        <w:gridCol w:w="2785"/>
      </w:tblGrid>
      <w:tr w:rsidR="00702366" w14:paraId="297D2BCD" w14:textId="77777777" w:rsidTr="009D3F53">
        <w:trPr>
          <w:trHeight w:val="567"/>
          <w:jc w:val="center"/>
        </w:trPr>
        <w:tc>
          <w:tcPr>
            <w:tcW w:w="720" w:type="dxa"/>
            <w:vAlign w:val="center"/>
          </w:tcPr>
          <w:p w14:paraId="29D6741B"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2330FD96" w14:textId="77777777" w:rsidR="00702366" w:rsidRDefault="00702366" w:rsidP="00356FDA">
            <w:pPr>
              <w:jc w:val="center"/>
              <w:rPr>
                <w:rFonts w:eastAsia="標楷體"/>
                <w:b/>
              </w:rPr>
            </w:pPr>
            <w:r>
              <w:rPr>
                <w:rFonts w:eastAsia="標楷體" w:hint="eastAsia"/>
                <w:b/>
              </w:rPr>
              <w:t>評分重點</w:t>
            </w:r>
          </w:p>
        </w:tc>
      </w:tr>
      <w:tr w:rsidR="00702366" w14:paraId="02D786D1" w14:textId="77777777" w:rsidTr="009D3F53">
        <w:trPr>
          <w:trHeight w:val="567"/>
          <w:jc w:val="center"/>
        </w:trPr>
        <w:tc>
          <w:tcPr>
            <w:tcW w:w="720" w:type="dxa"/>
            <w:vAlign w:val="center"/>
          </w:tcPr>
          <w:p w14:paraId="420615D0"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7E7FAB32" w14:textId="669A85E5"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6FA15C2F" w14:textId="77777777" w:rsidTr="009D3F53">
        <w:trPr>
          <w:trHeight w:val="567"/>
          <w:jc w:val="center"/>
        </w:trPr>
        <w:tc>
          <w:tcPr>
            <w:tcW w:w="720" w:type="dxa"/>
            <w:vAlign w:val="center"/>
          </w:tcPr>
          <w:p w14:paraId="215BB7E6"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56AAC055" w14:textId="77777777"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1A816BDE" w14:textId="77777777" w:rsidTr="009D3F53">
        <w:trPr>
          <w:trHeight w:val="567"/>
          <w:jc w:val="center"/>
        </w:trPr>
        <w:tc>
          <w:tcPr>
            <w:tcW w:w="720" w:type="dxa"/>
            <w:vAlign w:val="center"/>
          </w:tcPr>
          <w:p w14:paraId="1C5A7914" w14:textId="77777777"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55E3AD6F" w14:textId="0C16F09C"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762DA2DB" w14:textId="77777777" w:rsidTr="009D3F53">
        <w:trPr>
          <w:trHeight w:val="567"/>
          <w:jc w:val="center"/>
        </w:trPr>
        <w:tc>
          <w:tcPr>
            <w:tcW w:w="720" w:type="dxa"/>
            <w:vAlign w:val="center"/>
          </w:tcPr>
          <w:p w14:paraId="7213F6BE"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02EDC1BA" w14:textId="1C6986C4"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3F7D4051" w14:textId="77777777" w:rsidTr="009D3F53">
        <w:trPr>
          <w:trHeight w:val="567"/>
          <w:jc w:val="center"/>
        </w:trPr>
        <w:tc>
          <w:tcPr>
            <w:tcW w:w="720" w:type="dxa"/>
            <w:tcBorders>
              <w:bottom w:val="single" w:sz="4" w:space="0" w:color="auto"/>
            </w:tcBorders>
            <w:vAlign w:val="center"/>
          </w:tcPr>
          <w:p w14:paraId="4FCDA4CB"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1F37EC9F" w14:textId="34C279B4"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36CDFBE2"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431931E0" w14:textId="71DEC263" w:rsidR="00702366" w:rsidRDefault="00D37395" w:rsidP="001B3B88">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001B3B88"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00276082">
              <w:rPr>
                <w:rFonts w:eastAsia="標楷體" w:hint="eastAsia"/>
                <w:b/>
                <w:szCs w:val="28"/>
              </w:rPr>
              <w:t>■</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1B3B88">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1B3B88" w:rsidRPr="001B3B88">
              <w:rPr>
                <w:rFonts w:eastAsia="標楷體" w:hint="eastAsia"/>
                <w:szCs w:val="28"/>
              </w:rPr>
              <w:t>&lt;</w:t>
            </w:r>
            <w:r w:rsidR="001B3B88">
              <w:rPr>
                <w:rFonts w:eastAsia="標楷體" w:hint="eastAsia"/>
                <w:b/>
                <w:szCs w:val="28"/>
              </w:rPr>
              <w: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389B3F09" w14:textId="01E1A415" w:rsidR="00D37395" w:rsidRDefault="00702366" w:rsidP="00F21BE2">
            <w:pPr>
              <w:spacing w:beforeLines="50" w:before="120"/>
              <w:ind w:rightChars="-65" w:right="-156"/>
              <w:jc w:val="both"/>
              <w:rPr>
                <w:rFonts w:eastAsia="標楷體"/>
                <w:sz w:val="40"/>
                <w:szCs w:val="40"/>
              </w:rPr>
            </w:pPr>
            <w:r>
              <w:rPr>
                <w:rFonts w:eastAsia="標楷體" w:hint="eastAsia"/>
                <w:b/>
                <w:sz w:val="40"/>
                <w:szCs w:val="40"/>
              </w:rPr>
              <w:t>分數：</w:t>
            </w:r>
            <w:r>
              <w:rPr>
                <w:rFonts w:eastAsia="標楷體" w:hint="eastAsia"/>
                <w:b/>
                <w:sz w:val="40"/>
                <w:szCs w:val="40"/>
              </w:rPr>
              <w:t xml:space="preserve">(   </w:t>
            </w:r>
            <w:r w:rsidR="00276082">
              <w:rPr>
                <w:rFonts w:eastAsia="標楷體" w:hint="eastAsia"/>
                <w:b/>
                <w:sz w:val="40"/>
                <w:szCs w:val="40"/>
              </w:rPr>
              <w:t>8</w:t>
            </w:r>
            <w:r w:rsidR="00E7595A">
              <w:rPr>
                <w:rFonts w:eastAsia="標楷體" w:hint="eastAsia"/>
                <w:b/>
                <w:sz w:val="40"/>
                <w:szCs w:val="40"/>
              </w:rPr>
              <w:t>6</w:t>
            </w:r>
            <w:r>
              <w:rPr>
                <w:rFonts w:eastAsia="標楷體" w:hint="eastAsia"/>
                <w:b/>
                <w:sz w:val="40"/>
                <w:szCs w:val="40"/>
              </w:rPr>
              <w:t xml:space="preserve">   )</w:t>
            </w:r>
          </w:p>
        </w:tc>
      </w:tr>
    </w:tbl>
    <w:p w14:paraId="1744EF1C" w14:textId="3FD14CFF" w:rsidR="00763E2E" w:rsidRPr="00763E2E" w:rsidRDefault="00763E2E" w:rsidP="00D37395">
      <w:pPr>
        <w:rPr>
          <w:rFonts w:eastAsia="標楷體"/>
          <w:b/>
          <w:sz w:val="16"/>
        </w:rPr>
      </w:pPr>
    </w:p>
    <w:p w14:paraId="4A95CF20" w14:textId="3A6471CD"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Pr="00763E2E">
        <w:rPr>
          <w:rFonts w:eastAsia="標楷體" w:hint="eastAsia"/>
          <w:b/>
          <w:sz w:val="28"/>
        </w:rPr>
        <w:t>□極力推薦</w:t>
      </w:r>
      <w:r w:rsidRPr="00763E2E">
        <w:rPr>
          <w:rFonts w:eastAsia="標楷體" w:hint="eastAsia"/>
          <w:b/>
          <w:sz w:val="28"/>
        </w:rPr>
        <w:t xml:space="preserve"> </w:t>
      </w:r>
      <w:r w:rsidR="00276082">
        <w:rPr>
          <w:rFonts w:eastAsia="標楷體" w:hint="eastAsia"/>
          <w:b/>
          <w:sz w:val="28"/>
        </w:rPr>
        <w:t>■</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□勉予推薦</w:t>
      </w:r>
      <w:r w:rsidRPr="00763E2E">
        <w:rPr>
          <w:rFonts w:eastAsia="標楷體" w:hint="eastAsia"/>
          <w:b/>
          <w:sz w:val="28"/>
        </w:rPr>
        <w:t xml:space="preserve"> </w:t>
      </w:r>
      <w:r w:rsidRPr="00763E2E">
        <w:rPr>
          <w:rFonts w:eastAsia="標楷體" w:hint="eastAsia"/>
          <w:b/>
          <w:sz w:val="28"/>
        </w:rPr>
        <w:t>□不推薦</w:t>
      </w:r>
    </w:p>
    <w:p w14:paraId="7037E32D" w14:textId="77777777" w:rsidR="00763E2E" w:rsidRPr="009B6BD0" w:rsidRDefault="00763E2E" w:rsidP="00D37395">
      <w:pPr>
        <w:rPr>
          <w:rFonts w:eastAsia="標楷體"/>
          <w:b/>
          <w:sz w:val="16"/>
          <w:szCs w:val="16"/>
        </w:rPr>
      </w:pPr>
    </w:p>
    <w:p w14:paraId="2B132C69" w14:textId="77777777"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199B83C0" w14:textId="419A8975" w:rsidR="00763E2E" w:rsidRPr="00763E2E" w:rsidRDefault="00276082" w:rsidP="00700E36">
      <w:pPr>
        <w:ind w:leftChars="200" w:left="480"/>
        <w:rPr>
          <w:rFonts w:eastAsia="標楷體"/>
          <w:b/>
          <w:sz w:val="28"/>
        </w:rPr>
      </w:pPr>
      <w:r>
        <w:rPr>
          <w:rFonts w:eastAsia="標楷體" w:hint="eastAsia"/>
          <w:b/>
          <w:sz w:val="28"/>
        </w:rPr>
        <w:t>■</w:t>
      </w:r>
      <w:r w:rsidR="00D37395" w:rsidRPr="00763E2E">
        <w:rPr>
          <w:rFonts w:eastAsia="標楷體" w:hint="eastAsia"/>
          <w:b/>
          <w:sz w:val="28"/>
        </w:rPr>
        <w:t>研究團隊確定具有執行本研究之能力</w:t>
      </w:r>
      <w:r w:rsidR="00D37395" w:rsidRPr="00763E2E">
        <w:rPr>
          <w:rFonts w:eastAsia="標楷體" w:hint="eastAsia"/>
          <w:b/>
          <w:sz w:val="28"/>
        </w:rPr>
        <w:t xml:space="preserve"> </w:t>
      </w:r>
      <w:r w:rsidR="00D37395" w:rsidRPr="00763E2E">
        <w:rPr>
          <w:rFonts w:eastAsia="標楷體" w:hint="eastAsia"/>
          <w:b/>
          <w:sz w:val="28"/>
        </w:rPr>
        <w:t>□研究團隊可能具有執行本研究之能力</w:t>
      </w:r>
    </w:p>
    <w:p w14:paraId="7E1A1ACA" w14:textId="2C39A295"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4A82A082" w14:textId="77777777" w:rsidR="00763E2E" w:rsidRPr="009B6BD0" w:rsidRDefault="00763E2E" w:rsidP="00D37395">
      <w:pPr>
        <w:rPr>
          <w:rFonts w:eastAsia="標楷體"/>
          <w:b/>
          <w:sz w:val="16"/>
          <w:szCs w:val="16"/>
        </w:rPr>
      </w:pPr>
    </w:p>
    <w:p w14:paraId="10546F13" w14:textId="5682993E"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___</w:t>
      </w:r>
      <w:r w:rsidR="00276082">
        <w:rPr>
          <w:rFonts w:eastAsia="標楷體" w:hint="eastAsia"/>
          <w:b/>
          <w:sz w:val="28"/>
        </w:rPr>
        <w:t>40</w:t>
      </w:r>
      <w:r w:rsidRPr="00763E2E">
        <w:rPr>
          <w:rFonts w:eastAsia="標楷體" w:hint="eastAsia"/>
          <w:b/>
          <w:sz w:val="28"/>
        </w:rPr>
        <w:t>_</w:t>
      </w:r>
      <w:r w:rsidRPr="00763E2E">
        <w:rPr>
          <w:rFonts w:eastAsia="標楷體" w:hint="eastAsia"/>
          <w:b/>
          <w:sz w:val="28"/>
        </w:rPr>
        <w:t>萬元</w:t>
      </w:r>
    </w:p>
    <w:p w14:paraId="1235E932" w14:textId="77777777"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醫師進修博士學位研究計畫、重點組、教學組、護理組與醫事組每件核定金額以</w:t>
      </w:r>
      <w:r w:rsidRPr="00700E36">
        <w:rPr>
          <w:rFonts w:eastAsia="標楷體" w:hint="eastAsia"/>
          <w:b/>
          <w:sz w:val="22"/>
        </w:rPr>
        <w:t>40</w:t>
      </w:r>
      <w:r w:rsidRPr="00700E36">
        <w:rPr>
          <w:rFonts w:eastAsia="標楷體" w:hint="eastAsia"/>
          <w:b/>
          <w:sz w:val="22"/>
        </w:rPr>
        <w:t>萬元為限；另年輕主治醫師組每件核定金額以</w:t>
      </w:r>
      <w:r w:rsidRPr="00700E36">
        <w:rPr>
          <w:rFonts w:eastAsia="標楷體" w:hint="eastAsia"/>
          <w:b/>
          <w:sz w:val="22"/>
        </w:rPr>
        <w:t>30</w:t>
      </w:r>
      <w:r w:rsidRPr="00700E36">
        <w:rPr>
          <w:rFonts w:eastAsia="標楷體" w:hint="eastAsia"/>
          <w:b/>
          <w:sz w:val="22"/>
        </w:rPr>
        <w:t>萬元為限、住院醫師組每件核定金額以</w:t>
      </w:r>
      <w:r w:rsidRPr="00700E36">
        <w:rPr>
          <w:rFonts w:eastAsia="標楷體" w:hint="eastAsia"/>
          <w:b/>
          <w:sz w:val="22"/>
        </w:rPr>
        <w:t>20</w:t>
      </w:r>
      <w:r w:rsidRPr="00700E36">
        <w:rPr>
          <w:rFonts w:eastAsia="標楷體" w:hint="eastAsia"/>
          <w:b/>
          <w:sz w:val="22"/>
        </w:rPr>
        <w:t>萬元為限</w:t>
      </w:r>
      <w:r w:rsidRPr="00700E36">
        <w:rPr>
          <w:rFonts w:eastAsia="標楷體" w:hint="eastAsia"/>
          <w:b/>
          <w:sz w:val="22"/>
        </w:rPr>
        <w:t>)</w:t>
      </w:r>
    </w:p>
    <w:p w14:paraId="393FECF8" w14:textId="35D25FDA" w:rsidR="00C456B9" w:rsidRPr="00C456B9" w:rsidRDefault="00C456B9" w:rsidP="00700E36">
      <w:pPr>
        <w:ind w:leftChars="200" w:left="480"/>
        <w:rPr>
          <w:rFonts w:eastAsia="標楷體"/>
          <w:b/>
          <w:color w:val="FF0000"/>
          <w:sz w:val="28"/>
        </w:rPr>
      </w:pPr>
      <w:r w:rsidRPr="00C456B9">
        <w:rPr>
          <w:rFonts w:eastAsia="標楷體" w:hint="eastAsia"/>
          <w:b/>
          <w:color w:val="FF0000"/>
          <w:sz w:val="22"/>
        </w:rPr>
        <w:t>(</w:t>
      </w:r>
      <w:r w:rsidRPr="00C456B9">
        <w:rPr>
          <w:rFonts w:eastAsia="標楷體" w:hint="eastAsia"/>
          <w:b/>
          <w:color w:val="FF0000"/>
          <w:sz w:val="22"/>
        </w:rPr>
        <w:t>研究採用健保資料庫、系統性文獻回顧、或統合分析者，補助金額應該予以減少。</w:t>
      </w:r>
      <w:r w:rsidRPr="00C456B9">
        <w:rPr>
          <w:rFonts w:eastAsia="標楷體" w:hint="eastAsia"/>
          <w:b/>
          <w:color w:val="FF0000"/>
          <w:sz w:val="22"/>
        </w:rPr>
        <w:t>)</w:t>
      </w:r>
    </w:p>
    <w:p w14:paraId="6472BCB5" w14:textId="01CF768E" w:rsidR="00D37395" w:rsidRPr="009B6BD0" w:rsidRDefault="00D37395" w:rsidP="00D37395">
      <w:pPr>
        <w:rPr>
          <w:rFonts w:eastAsia="標楷體"/>
          <w:b/>
          <w:sz w:val="16"/>
          <w:szCs w:val="16"/>
        </w:rPr>
      </w:pPr>
    </w:p>
    <w:p w14:paraId="20BE6B0F" w14:textId="7777777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本綜合意見為複審的重要參考資料，</w:t>
      </w:r>
      <w:r w:rsidRPr="00D15825">
        <w:rPr>
          <w:rFonts w:eastAsia="標楷體" w:hint="eastAsia"/>
          <w:b/>
          <w:color w:val="0000FF"/>
          <w:u w:val="single"/>
        </w:rPr>
        <w:t>敬請務必填寫</w:t>
      </w:r>
      <w:r>
        <w:rPr>
          <w:rFonts w:eastAsia="標楷體"/>
        </w:rPr>
        <w:t>)</w:t>
      </w:r>
    </w:p>
    <w:p w14:paraId="441DE93A" w14:textId="463ECD2A" w:rsidR="007C7C96" w:rsidRDefault="006E28D7" w:rsidP="00702366">
      <w:pPr>
        <w:spacing w:before="120"/>
        <w:rPr>
          <w:rFonts w:eastAsia="標楷體"/>
        </w:rPr>
      </w:pPr>
      <w:r>
        <w:rPr>
          <w:noProof/>
        </w:rPr>
        <w:drawing>
          <wp:anchor distT="0" distB="0" distL="114300" distR="114300" simplePos="0" relativeHeight="251660288" behindDoc="0" locked="0" layoutInCell="1" allowOverlap="1" wp14:anchorId="56A8325E" wp14:editId="48607D24">
            <wp:simplePos x="0" y="0"/>
            <wp:positionH relativeFrom="column">
              <wp:posOffset>1176655</wp:posOffset>
            </wp:positionH>
            <wp:positionV relativeFrom="paragraph">
              <wp:posOffset>2395220</wp:posOffset>
            </wp:positionV>
            <wp:extent cx="1056005" cy="459740"/>
            <wp:effectExtent l="0" t="0" r="0" b="0"/>
            <wp:wrapNone/>
            <wp:docPr id="3" name="圖片 3"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7"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005" cy="459740"/>
                    </a:xfrm>
                    <a:prstGeom prst="rect">
                      <a:avLst/>
                    </a:prstGeom>
                    <a:noFill/>
                  </pic:spPr>
                </pic:pic>
              </a:graphicData>
            </a:graphic>
            <wp14:sizeRelH relativeFrom="margin">
              <wp14:pctWidth>0</wp14:pctWidth>
            </wp14:sizeRelH>
            <wp14:sizeRelV relativeFrom="margin">
              <wp14:pctHeight>0</wp14:pctHeight>
            </wp14:sizeRelV>
          </wp:anchor>
        </w:drawing>
      </w:r>
      <w:r w:rsidR="009D3F53">
        <w:rPr>
          <w:rFonts w:eastAsia="標楷體"/>
        </w:rPr>
        <w:t xml:space="preserve"> </w:t>
      </w:r>
      <w:r w:rsidR="00276082" w:rsidRPr="00276082">
        <w:rPr>
          <w:rFonts w:eastAsia="標楷體"/>
        </w:rPr>
        <w:t>本計畫以魚針草酸</w:t>
      </w:r>
      <w:r w:rsidR="00276082" w:rsidRPr="00276082">
        <w:rPr>
          <w:rFonts w:eastAsia="標楷體"/>
        </w:rPr>
        <w:t>(anisomelic acid, AA)</w:t>
      </w:r>
      <w:r w:rsidR="00276082" w:rsidRPr="00276082">
        <w:rPr>
          <w:rFonts w:eastAsia="標楷體"/>
        </w:rPr>
        <w:t>標靶</w:t>
      </w:r>
      <w:r w:rsidR="00276082" w:rsidRPr="00276082">
        <w:rPr>
          <w:rFonts w:eastAsia="標楷體"/>
        </w:rPr>
        <w:t>Rab27</w:t>
      </w:r>
      <w:r w:rsidR="00276082" w:rsidRPr="00276082">
        <w:rPr>
          <w:rFonts w:eastAsia="標楷體"/>
        </w:rPr>
        <w:t>訊號路徑調控癌相關纖維母細胞（</w:t>
      </w:r>
      <w:r w:rsidR="00276082" w:rsidRPr="00276082">
        <w:rPr>
          <w:rFonts w:eastAsia="標楷體"/>
        </w:rPr>
        <w:t>CAF</w:t>
      </w:r>
      <w:r w:rsidR="00276082" w:rsidRPr="00276082">
        <w:rPr>
          <w:rFonts w:eastAsia="標楷體"/>
        </w:rPr>
        <w:t>）外泌體生合成，作為克服頭頸癌抗藥性的創新策略，主題新穎且具臨床轉譯潛力，符合「精準醫學臨床模組開發」重點方向。計畫結合天然物藥理與外泌體機制研究，研究設計完整並具可行性。主持人林冠州醫師具頭頸癌臨床與轉譯研究專長，共同主持人吳駿翃教授在腫瘤微環境與天然物研究領域表現卓越，雙方專長互補。團隊具備堅實研究基礎與初步數據支持（</w:t>
      </w:r>
      <w:r w:rsidR="00276082" w:rsidRPr="00276082">
        <w:rPr>
          <w:rFonts w:eastAsia="標楷體"/>
        </w:rPr>
        <w:t>CAF</w:t>
      </w:r>
      <w:r w:rsidR="00276082" w:rsidRPr="00276082">
        <w:rPr>
          <w:rFonts w:eastAsia="標楷體"/>
        </w:rPr>
        <w:t>特性、</w:t>
      </w:r>
      <w:r w:rsidR="00276082" w:rsidRPr="00276082">
        <w:rPr>
          <w:rFonts w:eastAsia="標楷體"/>
        </w:rPr>
        <w:t>RAB27A</w:t>
      </w:r>
      <w:r w:rsidR="00276082" w:rsidRPr="00276082">
        <w:rPr>
          <w:rFonts w:eastAsia="標楷體"/>
        </w:rPr>
        <w:t>單細胞表現、</w:t>
      </w:r>
      <w:r w:rsidR="00276082" w:rsidRPr="00276082">
        <w:rPr>
          <w:rFonts w:eastAsia="標楷體"/>
        </w:rPr>
        <w:t>sEV</w:t>
      </w:r>
      <w:r w:rsidR="00276082" w:rsidRPr="00276082">
        <w:rPr>
          <w:rFonts w:eastAsia="標楷體"/>
        </w:rPr>
        <w:t>功能及</w:t>
      </w:r>
      <w:r w:rsidR="00276082" w:rsidRPr="00276082">
        <w:rPr>
          <w:rFonts w:eastAsia="標楷體"/>
        </w:rPr>
        <w:t>AA</w:t>
      </w:r>
      <w:r w:rsidR="00276082" w:rsidRPr="00276082">
        <w:rPr>
          <w:rFonts w:eastAsia="標楷體"/>
        </w:rPr>
        <w:t>分子對接），展現執行本研究的能力與潛力。</w:t>
      </w:r>
    </w:p>
    <w:p w14:paraId="0B51E582" w14:textId="10204AD6" w:rsidR="00276082" w:rsidRPr="00276082" w:rsidRDefault="00276082" w:rsidP="00276082">
      <w:pPr>
        <w:spacing w:before="120"/>
        <w:rPr>
          <w:rFonts w:eastAsia="標楷體"/>
        </w:rPr>
      </w:pPr>
      <w:r>
        <w:rPr>
          <w:rFonts w:eastAsia="標楷體" w:hint="eastAsia"/>
        </w:rPr>
        <w:t>以下建議</w:t>
      </w:r>
      <w:r>
        <w:rPr>
          <w:rFonts w:eastAsia="標楷體" w:hint="eastAsia"/>
        </w:rPr>
        <w:t>:</w:t>
      </w:r>
      <w:r>
        <w:rPr>
          <w:rFonts w:eastAsia="標楷體"/>
        </w:rPr>
        <w:br/>
      </w:r>
      <w:r>
        <w:rPr>
          <w:rFonts w:eastAsia="標楷體" w:hint="eastAsia"/>
        </w:rPr>
        <w:t>1.</w:t>
      </w:r>
      <w:r w:rsidRPr="00276082">
        <w:rPr>
          <w:rFonts w:ascii="新細明體" w:hAnsi="新細明體" w:cs="新細明體"/>
        </w:rPr>
        <w:t xml:space="preserve"> </w:t>
      </w:r>
      <w:r w:rsidRPr="00276082">
        <w:rPr>
          <w:rFonts w:eastAsia="標楷體"/>
        </w:rPr>
        <w:t>建議加強</w:t>
      </w:r>
      <w:r w:rsidRPr="00276082">
        <w:rPr>
          <w:rFonts w:eastAsia="標楷體"/>
        </w:rPr>
        <w:t>sEV</w:t>
      </w:r>
      <w:r w:rsidRPr="00276082">
        <w:rPr>
          <w:rFonts w:eastAsia="標楷體"/>
        </w:rPr>
        <w:t>分離與鑑定流程的標準化，確保結果的可重複性與可靠性</w:t>
      </w:r>
      <w:r>
        <w:rPr>
          <w:rFonts w:eastAsia="標楷體" w:hint="eastAsia"/>
        </w:rPr>
        <w:t>；</w:t>
      </w:r>
      <w:r w:rsidRPr="00276082">
        <w:rPr>
          <w:rFonts w:eastAsia="標楷體"/>
        </w:rPr>
        <w:t>動物實驗部分，應增加樣本數至每組</w:t>
      </w:r>
      <w:r w:rsidRPr="00276082">
        <w:rPr>
          <w:rFonts w:eastAsia="標楷體"/>
        </w:rPr>
        <w:t>6–8</w:t>
      </w:r>
      <w:r w:rsidRPr="00276082">
        <w:rPr>
          <w:rFonts w:eastAsia="標楷體"/>
        </w:rPr>
        <w:t>隻並進行</w:t>
      </w:r>
      <w:r w:rsidRPr="00276082">
        <w:rPr>
          <w:rFonts w:eastAsia="標楷體"/>
        </w:rPr>
        <w:t>power analysis</w:t>
      </w:r>
      <w:r w:rsidRPr="00276082">
        <w:rPr>
          <w:rFonts w:eastAsia="標楷體"/>
        </w:rPr>
        <w:t>，詳細說明</w:t>
      </w:r>
      <w:r w:rsidRPr="00276082">
        <w:rPr>
          <w:rFonts w:eastAsia="標楷體"/>
        </w:rPr>
        <w:t>PDT</w:t>
      </w:r>
      <w:r w:rsidRPr="00276082">
        <w:rPr>
          <w:rFonts w:eastAsia="標楷體"/>
        </w:rPr>
        <w:t>建立流程（包含組織來源、納入標準與品質控制），明確描述腫瘤植入方式與隨機分組策略，並設定明確的人道終點。同時建議補充</w:t>
      </w:r>
      <w:r w:rsidRPr="00276082">
        <w:rPr>
          <w:rFonts w:eastAsia="標楷體"/>
        </w:rPr>
        <w:lastRenderedPageBreak/>
        <w:t>syngeneic model</w:t>
      </w:r>
      <w:r w:rsidRPr="00276082">
        <w:rPr>
          <w:rFonts w:eastAsia="標楷體"/>
        </w:rPr>
        <w:t>的免疫分析設計及血清</w:t>
      </w:r>
      <w:r w:rsidRPr="00276082">
        <w:rPr>
          <w:rFonts w:eastAsia="標楷體"/>
        </w:rPr>
        <w:t>sEV</w:t>
      </w:r>
      <w:r w:rsidRPr="00276082">
        <w:rPr>
          <w:rFonts w:eastAsia="標楷體"/>
        </w:rPr>
        <w:t>分離的技術挑戰說明，以提升動物實驗的嚴謹性與可行性。</w:t>
      </w:r>
    </w:p>
    <w:p w14:paraId="5FDE7654" w14:textId="77777777" w:rsidR="00276082" w:rsidRPr="00276082" w:rsidRDefault="00276082" w:rsidP="00276082">
      <w:pPr>
        <w:spacing w:before="120"/>
        <w:rPr>
          <w:rFonts w:eastAsia="標楷體"/>
        </w:rPr>
      </w:pPr>
      <w:r w:rsidRPr="00276082">
        <w:rPr>
          <w:rFonts w:eastAsia="標楷體"/>
          <w:b/>
          <w:bCs/>
        </w:rPr>
        <w:t>二、分子機制深化與訊號網絡解析</w:t>
      </w:r>
      <w:r w:rsidRPr="00276082">
        <w:rPr>
          <w:rFonts w:eastAsia="標楷體"/>
        </w:rPr>
        <w:br/>
      </w:r>
      <w:r w:rsidRPr="00276082">
        <w:rPr>
          <w:rFonts w:eastAsia="標楷體"/>
        </w:rPr>
        <w:t>應深化</w:t>
      </w:r>
      <w:r w:rsidRPr="00276082">
        <w:rPr>
          <w:rFonts w:eastAsia="標楷體"/>
        </w:rPr>
        <w:t>Rab27</w:t>
      </w:r>
      <w:r w:rsidRPr="00276082">
        <w:rPr>
          <w:rFonts w:eastAsia="標楷體"/>
        </w:rPr>
        <w:t>訊號網絡與</w:t>
      </w:r>
      <w:r w:rsidRPr="00276082">
        <w:rPr>
          <w:rFonts w:eastAsia="標楷體"/>
        </w:rPr>
        <w:t>AA</w:t>
      </w:r>
      <w:r w:rsidRPr="00276082">
        <w:rPr>
          <w:rFonts w:eastAsia="標楷體"/>
        </w:rPr>
        <w:t>作用機轉的研究，以鞏固治療策略的理論基礎。除分析</w:t>
      </w:r>
      <w:r w:rsidRPr="00276082">
        <w:rPr>
          <w:rFonts w:eastAsia="標楷體"/>
        </w:rPr>
        <w:t>RAB27A/B</w:t>
      </w:r>
      <w:r w:rsidRPr="00276082">
        <w:rPr>
          <w:rFonts w:eastAsia="標楷體"/>
        </w:rPr>
        <w:t>的表現量外，建議檢測其</w:t>
      </w:r>
      <w:r w:rsidRPr="00276082">
        <w:rPr>
          <w:rFonts w:eastAsia="標楷體"/>
        </w:rPr>
        <w:t>GTP</w:t>
      </w:r>
      <w:r w:rsidRPr="00276082">
        <w:rPr>
          <w:rFonts w:eastAsia="標楷體"/>
        </w:rPr>
        <w:t>結合活性，探討效應蛋白（如</w:t>
      </w:r>
      <w:r w:rsidRPr="00276082">
        <w:rPr>
          <w:rFonts w:eastAsia="標楷體"/>
        </w:rPr>
        <w:t>MLPH</w:t>
      </w:r>
      <w:r w:rsidRPr="00276082">
        <w:rPr>
          <w:rFonts w:eastAsia="標楷體"/>
        </w:rPr>
        <w:t>、</w:t>
      </w:r>
      <w:r w:rsidRPr="00276082">
        <w:rPr>
          <w:rFonts w:eastAsia="標楷體"/>
        </w:rPr>
        <w:t>Slp</w:t>
      </w:r>
      <w:r w:rsidRPr="00276082">
        <w:rPr>
          <w:rFonts w:eastAsia="標楷體"/>
        </w:rPr>
        <w:t>）在</w:t>
      </w:r>
      <w:r w:rsidRPr="00276082">
        <w:rPr>
          <w:rFonts w:eastAsia="標楷體"/>
        </w:rPr>
        <w:t>sEV</w:t>
      </w:r>
      <w:r w:rsidRPr="00276082">
        <w:rPr>
          <w:rFonts w:eastAsia="標楷體"/>
        </w:rPr>
        <w:t>分泌中的角色，並以</w:t>
      </w:r>
      <w:r w:rsidRPr="00276082">
        <w:rPr>
          <w:rFonts w:eastAsia="標楷體"/>
        </w:rPr>
        <w:t>Co-IP</w:t>
      </w:r>
      <w:r w:rsidRPr="00276082">
        <w:rPr>
          <w:rFonts w:eastAsia="標楷體"/>
        </w:rPr>
        <w:t>或</w:t>
      </w:r>
      <w:r w:rsidRPr="00276082">
        <w:rPr>
          <w:rFonts w:eastAsia="標楷體"/>
        </w:rPr>
        <w:t>PLA</w:t>
      </w:r>
      <w:r w:rsidRPr="00276082">
        <w:rPr>
          <w:rFonts w:eastAsia="標楷體"/>
        </w:rPr>
        <w:t>驗證</w:t>
      </w:r>
      <w:r w:rsidRPr="00276082">
        <w:rPr>
          <w:rFonts w:eastAsia="標楷體"/>
        </w:rPr>
        <w:t>Rab27</w:t>
      </w:r>
      <w:r w:rsidRPr="00276082">
        <w:rPr>
          <w:rFonts w:eastAsia="標楷體"/>
        </w:rPr>
        <w:t>與</w:t>
      </w:r>
      <w:r w:rsidRPr="00276082">
        <w:rPr>
          <w:rFonts w:eastAsia="標楷體"/>
        </w:rPr>
        <w:t>ESCRT</w:t>
      </w:r>
      <w:r w:rsidRPr="00276082">
        <w:rPr>
          <w:rFonts w:eastAsia="標楷體"/>
        </w:rPr>
        <w:t>複合物的交互作用。可利用活細胞成像觀察</w:t>
      </w:r>
      <w:r w:rsidRPr="00276082">
        <w:rPr>
          <w:rFonts w:eastAsia="標楷體"/>
        </w:rPr>
        <w:t>MVB</w:t>
      </w:r>
      <w:r w:rsidRPr="00276082">
        <w:rPr>
          <w:rFonts w:eastAsia="標楷體"/>
        </w:rPr>
        <w:t>運輸及膜融合過程，並分析上游調控因子</w:t>
      </w:r>
      <w:r w:rsidRPr="00276082">
        <w:rPr>
          <w:rFonts w:eastAsia="標楷體"/>
        </w:rPr>
        <w:t>GEFs/GAPs</w:t>
      </w:r>
      <w:r w:rsidRPr="00276082">
        <w:rPr>
          <w:rFonts w:eastAsia="標楷體"/>
        </w:rPr>
        <w:t>之表現變化。同時應以</w:t>
      </w:r>
      <w:r w:rsidRPr="00276082">
        <w:rPr>
          <w:rFonts w:eastAsia="標楷體"/>
        </w:rPr>
        <w:t>SPR</w:t>
      </w:r>
      <w:r w:rsidRPr="00276082">
        <w:rPr>
          <w:rFonts w:eastAsia="標楷體"/>
        </w:rPr>
        <w:t>、</w:t>
      </w:r>
      <w:r w:rsidRPr="00276082">
        <w:rPr>
          <w:rFonts w:eastAsia="標楷體"/>
        </w:rPr>
        <w:t>ITC</w:t>
      </w:r>
      <w:r w:rsidRPr="00276082">
        <w:rPr>
          <w:rFonts w:eastAsia="標楷體"/>
        </w:rPr>
        <w:t>與</w:t>
      </w:r>
      <w:r w:rsidRPr="00276082">
        <w:rPr>
          <w:rFonts w:eastAsia="標楷體"/>
        </w:rPr>
        <w:t>CETSA</w:t>
      </w:r>
      <w:r w:rsidRPr="00276082">
        <w:rPr>
          <w:rFonts w:eastAsia="標楷體"/>
        </w:rPr>
        <w:t>實驗驗證</w:t>
      </w:r>
      <w:r w:rsidRPr="00276082">
        <w:rPr>
          <w:rFonts w:eastAsia="標楷體"/>
        </w:rPr>
        <w:t>AA</w:t>
      </w:r>
      <w:r w:rsidRPr="00276082">
        <w:rPr>
          <w:rFonts w:eastAsia="標楷體"/>
        </w:rPr>
        <w:t>與</w:t>
      </w:r>
      <w:r w:rsidRPr="00276082">
        <w:rPr>
          <w:rFonts w:eastAsia="標楷體"/>
        </w:rPr>
        <w:t>RAB27A</w:t>
      </w:r>
      <w:r w:rsidRPr="00276082">
        <w:rPr>
          <w:rFonts w:eastAsia="標楷體"/>
        </w:rPr>
        <w:t>等靶點的直接結合，並透過突變體救援實驗確認關鍵結合位點功能。另應補充</w:t>
      </w:r>
      <w:r w:rsidRPr="00276082">
        <w:rPr>
          <w:rFonts w:eastAsia="標楷體"/>
        </w:rPr>
        <w:t>AA</w:t>
      </w:r>
      <w:r w:rsidRPr="00276082">
        <w:rPr>
          <w:rFonts w:eastAsia="標楷體"/>
        </w:rPr>
        <w:t>的體外代謝穩定性、體內</w:t>
      </w:r>
      <w:r w:rsidRPr="00276082">
        <w:rPr>
          <w:rFonts w:eastAsia="標楷體"/>
        </w:rPr>
        <w:t>PK</w:t>
      </w:r>
      <w:r w:rsidRPr="00276082">
        <w:rPr>
          <w:rFonts w:eastAsia="標楷體"/>
        </w:rPr>
        <w:t>參數及</w:t>
      </w:r>
      <w:r w:rsidRPr="00276082">
        <w:rPr>
          <w:rFonts w:eastAsia="標楷體"/>
        </w:rPr>
        <w:t>PK/PD</w:t>
      </w:r>
      <w:r w:rsidRPr="00276082">
        <w:rPr>
          <w:rFonts w:eastAsia="標楷體"/>
        </w:rPr>
        <w:t>關聯分析，建立</w:t>
      </w:r>
      <w:r w:rsidRPr="00276082">
        <w:rPr>
          <w:rFonts w:eastAsia="標楷體"/>
        </w:rPr>
        <w:t>AA</w:t>
      </w:r>
      <w:r w:rsidRPr="00276082">
        <w:rPr>
          <w:rFonts w:eastAsia="標楷體"/>
        </w:rPr>
        <w:t>劑量</w:t>
      </w:r>
      <w:r w:rsidRPr="00276082">
        <w:rPr>
          <w:rFonts w:eastAsia="標楷體"/>
        </w:rPr>
        <w:t>-</w:t>
      </w:r>
      <w:r w:rsidRPr="00276082">
        <w:rPr>
          <w:rFonts w:eastAsia="標楷體"/>
        </w:rPr>
        <w:t>反應曲線與治療窗評估。</w:t>
      </w:r>
    </w:p>
    <w:p w14:paraId="746E6701" w14:textId="77777777" w:rsidR="00276082" w:rsidRPr="00276082" w:rsidRDefault="00276082" w:rsidP="00276082">
      <w:pPr>
        <w:spacing w:before="120"/>
        <w:rPr>
          <w:rFonts w:eastAsia="標楷體"/>
        </w:rPr>
      </w:pPr>
      <w:r w:rsidRPr="00276082">
        <w:rPr>
          <w:rFonts w:eastAsia="標楷體"/>
          <w:b/>
          <w:bCs/>
        </w:rPr>
        <w:t>三、腫瘤微環境與免疫調控分析</w:t>
      </w:r>
      <w:r w:rsidRPr="00276082">
        <w:rPr>
          <w:rFonts w:eastAsia="標楷體"/>
        </w:rPr>
        <w:br/>
      </w:r>
      <w:r w:rsidRPr="00276082">
        <w:rPr>
          <w:rFonts w:eastAsia="標楷體"/>
        </w:rPr>
        <w:t>建議從多維度解析腫瘤微環境（</w:t>
      </w:r>
      <w:r w:rsidRPr="00276082">
        <w:rPr>
          <w:rFonts w:eastAsia="標楷體"/>
        </w:rPr>
        <w:t>TME</w:t>
      </w:r>
      <w:r w:rsidRPr="00276082">
        <w:rPr>
          <w:rFonts w:eastAsia="標楷體"/>
        </w:rPr>
        <w:t>）變化，建立</w:t>
      </w:r>
      <w:r w:rsidRPr="00276082">
        <w:rPr>
          <w:rFonts w:eastAsia="標楷體"/>
        </w:rPr>
        <w:t>CAF-sEV</w:t>
      </w:r>
      <w:r w:rsidRPr="00276082">
        <w:rPr>
          <w:rFonts w:eastAsia="標楷體"/>
        </w:rPr>
        <w:t>促進腫瘤惡化及</w:t>
      </w:r>
      <w:r w:rsidRPr="00276082">
        <w:rPr>
          <w:rFonts w:eastAsia="標楷體"/>
        </w:rPr>
        <w:t>AA</w:t>
      </w:r>
      <w:r w:rsidRPr="00276082">
        <w:rPr>
          <w:rFonts w:eastAsia="標楷體"/>
        </w:rPr>
        <w:t>治療反應的整合圖譜。應進行免疫細胞浸潤動態分析（</w:t>
      </w:r>
      <w:r w:rsidRPr="00276082">
        <w:rPr>
          <w:rFonts w:eastAsia="標楷體"/>
        </w:rPr>
        <w:t>CD3⁺</w:t>
      </w:r>
      <w:r w:rsidRPr="00276082">
        <w:rPr>
          <w:rFonts w:eastAsia="標楷體"/>
        </w:rPr>
        <w:t>、</w:t>
      </w:r>
      <w:r w:rsidRPr="00276082">
        <w:rPr>
          <w:rFonts w:eastAsia="標楷體"/>
        </w:rPr>
        <w:t>CD8⁺</w:t>
      </w:r>
      <w:r w:rsidRPr="00276082">
        <w:rPr>
          <w:rFonts w:eastAsia="標楷體"/>
        </w:rPr>
        <w:t>、</w:t>
      </w:r>
      <w:r w:rsidRPr="00276082">
        <w:rPr>
          <w:rFonts w:eastAsia="標楷體"/>
        </w:rPr>
        <w:t>Treg</w:t>
      </w:r>
      <w:r w:rsidRPr="00276082">
        <w:rPr>
          <w:rFonts w:eastAsia="標楷體"/>
        </w:rPr>
        <w:t>、</w:t>
      </w:r>
      <w:r w:rsidRPr="00276082">
        <w:rPr>
          <w:rFonts w:eastAsia="標楷體"/>
        </w:rPr>
        <w:t>MDSC</w:t>
      </w:r>
      <w:r w:rsidRPr="00276082">
        <w:rPr>
          <w:rFonts w:eastAsia="標楷體"/>
        </w:rPr>
        <w:t>、</w:t>
      </w:r>
      <w:r w:rsidRPr="00276082">
        <w:rPr>
          <w:rFonts w:eastAsia="標楷體"/>
        </w:rPr>
        <w:t>TAM</w:t>
      </w:r>
      <w:r w:rsidRPr="00276082">
        <w:rPr>
          <w:rFonts w:eastAsia="標楷體"/>
        </w:rPr>
        <w:t>等）及細胞因子時間曲線（</w:t>
      </w:r>
      <w:r w:rsidRPr="00276082">
        <w:rPr>
          <w:rFonts w:eastAsia="標楷體"/>
        </w:rPr>
        <w:t>IL-6</w:t>
      </w:r>
      <w:r w:rsidRPr="00276082">
        <w:rPr>
          <w:rFonts w:eastAsia="標楷體"/>
        </w:rPr>
        <w:t>、</w:t>
      </w:r>
      <w:r w:rsidRPr="00276082">
        <w:rPr>
          <w:rFonts w:eastAsia="標楷體"/>
        </w:rPr>
        <w:t>TGF-β</w:t>
      </w:r>
      <w:r w:rsidRPr="00276082">
        <w:rPr>
          <w:rFonts w:eastAsia="標楷體"/>
        </w:rPr>
        <w:t>、</w:t>
      </w:r>
      <w:r w:rsidRPr="00276082">
        <w:rPr>
          <w:rFonts w:eastAsia="標楷體"/>
        </w:rPr>
        <w:t>VEGF</w:t>
      </w:r>
      <w:r w:rsidRPr="00276082">
        <w:rPr>
          <w:rFonts w:eastAsia="標楷體"/>
        </w:rPr>
        <w:t>、</w:t>
      </w:r>
      <w:r w:rsidRPr="00276082">
        <w:rPr>
          <w:rFonts w:eastAsia="標楷體"/>
        </w:rPr>
        <w:t>IFN-γ</w:t>
      </w:r>
      <w:r w:rsidRPr="00276082">
        <w:rPr>
          <w:rFonts w:eastAsia="標楷體"/>
        </w:rPr>
        <w:t>），並利用多重免疫螢光或空間轉錄組學解析</w:t>
      </w:r>
      <w:r w:rsidRPr="00276082">
        <w:rPr>
          <w:rFonts w:eastAsia="標楷體"/>
        </w:rPr>
        <w:t>CAF</w:t>
      </w:r>
      <w:r w:rsidRPr="00276082">
        <w:rPr>
          <w:rFonts w:eastAsia="標楷體"/>
        </w:rPr>
        <w:t>、癌細胞與免疫細胞的空間互作。同時建議評估</w:t>
      </w:r>
      <w:r w:rsidRPr="00276082">
        <w:rPr>
          <w:rFonts w:eastAsia="標楷體"/>
        </w:rPr>
        <w:t>ECM</w:t>
      </w:r>
      <w:r w:rsidRPr="00276082">
        <w:rPr>
          <w:rFonts w:eastAsia="標楷體"/>
        </w:rPr>
        <w:t>重塑變化（</w:t>
      </w:r>
      <w:r w:rsidRPr="00276082">
        <w:rPr>
          <w:rFonts w:eastAsia="標楷體"/>
        </w:rPr>
        <w:t>collagen</w:t>
      </w:r>
      <w:r w:rsidRPr="00276082">
        <w:rPr>
          <w:rFonts w:eastAsia="標楷體"/>
        </w:rPr>
        <w:t>沉積與基質剛性）。針對</w:t>
      </w:r>
      <w:r w:rsidRPr="00276082">
        <w:rPr>
          <w:rFonts w:eastAsia="標楷體"/>
        </w:rPr>
        <w:t>sEV cargo</w:t>
      </w:r>
      <w:r w:rsidRPr="00276082">
        <w:rPr>
          <w:rFonts w:eastAsia="標楷體"/>
        </w:rPr>
        <w:t>功能性，應驗證</w:t>
      </w:r>
      <w:r w:rsidRPr="00276082">
        <w:rPr>
          <w:rFonts w:eastAsia="標楷體"/>
        </w:rPr>
        <w:t>miRNA</w:t>
      </w:r>
      <w:r w:rsidRPr="00276082">
        <w:rPr>
          <w:rFonts w:eastAsia="標楷體"/>
        </w:rPr>
        <w:t>（如</w:t>
      </w:r>
      <w:r w:rsidRPr="00276082">
        <w:rPr>
          <w:rFonts w:eastAsia="標楷體"/>
        </w:rPr>
        <w:t>miR-21-5p</w:t>
      </w:r>
      <w:r w:rsidRPr="00276082">
        <w:rPr>
          <w:rFonts w:eastAsia="標楷體"/>
        </w:rPr>
        <w:t>、</w:t>
      </w:r>
      <w:r w:rsidRPr="00276082">
        <w:rPr>
          <w:rFonts w:eastAsia="標楷體"/>
        </w:rPr>
        <w:t>miR-222-3p</w:t>
      </w:r>
      <w:r w:rsidRPr="00276082">
        <w:rPr>
          <w:rFonts w:eastAsia="標楷體"/>
        </w:rPr>
        <w:t>）的作用，利用</w:t>
      </w:r>
      <w:r w:rsidRPr="00276082">
        <w:rPr>
          <w:rFonts w:eastAsia="標楷體"/>
        </w:rPr>
        <w:t>antagomir/mimic</w:t>
      </w:r>
      <w:r w:rsidRPr="00276082">
        <w:rPr>
          <w:rFonts w:eastAsia="標楷體"/>
        </w:rPr>
        <w:t>轉染、</w:t>
      </w:r>
      <w:r w:rsidRPr="00276082">
        <w:rPr>
          <w:rFonts w:eastAsia="標楷體"/>
        </w:rPr>
        <w:t>luciferase reporter</w:t>
      </w:r>
      <w:r w:rsidRPr="00276082">
        <w:rPr>
          <w:rFonts w:eastAsia="標楷體"/>
        </w:rPr>
        <w:t>及</w:t>
      </w:r>
      <w:r w:rsidRPr="00276082">
        <w:rPr>
          <w:rFonts w:eastAsia="標楷體"/>
        </w:rPr>
        <w:t>rescue</w:t>
      </w:r>
      <w:r w:rsidRPr="00276082">
        <w:rPr>
          <w:rFonts w:eastAsia="標楷體"/>
        </w:rPr>
        <w:t>實驗確認其靶基因調控，並進行</w:t>
      </w:r>
      <w:r w:rsidRPr="00276082">
        <w:rPr>
          <w:rFonts w:eastAsia="標楷體"/>
        </w:rPr>
        <w:t>sEV</w:t>
      </w:r>
      <w:r w:rsidRPr="00276082">
        <w:rPr>
          <w:rFonts w:eastAsia="標楷體"/>
        </w:rPr>
        <w:t>蛋白質體學分析以鑑定</w:t>
      </w:r>
      <w:r w:rsidRPr="00276082">
        <w:rPr>
          <w:rFonts w:eastAsia="標楷體"/>
        </w:rPr>
        <w:t>Rab27</w:t>
      </w:r>
      <w:r w:rsidRPr="00276082">
        <w:rPr>
          <w:rFonts w:eastAsia="標楷體"/>
        </w:rPr>
        <w:t>調控的關鍵</w:t>
      </w:r>
      <w:r w:rsidRPr="00276082">
        <w:rPr>
          <w:rFonts w:eastAsia="標楷體"/>
        </w:rPr>
        <w:t>cargo</w:t>
      </w:r>
      <w:r w:rsidRPr="00276082">
        <w:rPr>
          <w:rFonts w:eastAsia="標楷體"/>
        </w:rPr>
        <w:t>蛋白。</w:t>
      </w:r>
    </w:p>
    <w:p w14:paraId="62A3DFFD" w14:textId="4A72802F" w:rsidR="00276082" w:rsidRDefault="00276082" w:rsidP="00702366">
      <w:pPr>
        <w:spacing w:before="120"/>
        <w:rPr>
          <w:rFonts w:eastAsia="標楷體"/>
        </w:rPr>
      </w:pPr>
    </w:p>
    <w:sectPr w:rsidR="00276082" w:rsidSect="00331E8B">
      <w:headerReference w:type="default" r:id="rId8"/>
      <w:footerReference w:type="default" r:id="rId9"/>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1F56A" w14:textId="77777777" w:rsidR="00F22887" w:rsidRDefault="00F22887">
      <w:r>
        <w:separator/>
      </w:r>
    </w:p>
  </w:endnote>
  <w:endnote w:type="continuationSeparator" w:id="0">
    <w:p w14:paraId="13AA07D7" w14:textId="77777777" w:rsidR="00F22887" w:rsidRDefault="00F22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883F" w14:textId="0DE41391" w:rsidR="00384959" w:rsidRDefault="00000000">
    <w:pPr>
      <w:tabs>
        <w:tab w:val="left" w:pos="6120"/>
      </w:tabs>
      <w:spacing w:before="120"/>
      <w:ind w:left="540"/>
      <w:rPr>
        <w:rFonts w:eastAsia="標楷體"/>
      </w:rPr>
    </w:pPr>
    <w:r>
      <w:rPr>
        <w:rFonts w:eastAsia="標楷體"/>
        <w:noProof/>
      </w:rPr>
      <w:pict w14:anchorId="7EA77C79">
        <v:line id="_x0000_s1025" style="position:absolute;left:0;text-align:left;z-index:251657728" from="-.05pt,3.25pt" to="513pt,3.3pt" o:allowincell="f">
          <v:stroke startarrowwidth="narrow" startarrowlength="short" endarrowwidth="narrow" endarrowlength="short"/>
        </v:line>
      </w:pict>
    </w:r>
    <w:r w:rsidR="00384959">
      <w:rPr>
        <w:rFonts w:eastAsia="標楷體" w:hint="eastAsia"/>
      </w:rPr>
      <w:t>審查委員：</w:t>
    </w:r>
    <w:r w:rsidR="00384959">
      <w:rPr>
        <w:rFonts w:eastAsia="標楷體"/>
      </w:rPr>
      <w:tab/>
    </w:r>
    <w:r w:rsidR="00384959">
      <w:rPr>
        <w:rFonts w:eastAsia="標楷體" w:hint="eastAsia"/>
      </w:rPr>
      <w:t xml:space="preserve">    </w:t>
    </w:r>
    <w:r w:rsidR="00276082">
      <w:rPr>
        <w:rFonts w:eastAsia="標楷體" w:hint="eastAsia"/>
      </w:rPr>
      <w:t>114</w:t>
    </w:r>
    <w:r w:rsidR="00384959">
      <w:rPr>
        <w:rFonts w:eastAsia="標楷體" w:hint="eastAsia"/>
      </w:rPr>
      <w:t>年</w:t>
    </w:r>
    <w:r w:rsidR="00384959">
      <w:rPr>
        <w:rFonts w:eastAsia="標楷體"/>
      </w:rPr>
      <w:t xml:space="preserve"> </w:t>
    </w:r>
    <w:r w:rsidR="00276082">
      <w:rPr>
        <w:rFonts w:eastAsia="標楷體" w:hint="eastAsia"/>
      </w:rPr>
      <w:t>10</w:t>
    </w:r>
    <w:r w:rsidR="00384959">
      <w:rPr>
        <w:rFonts w:eastAsia="標楷體" w:hint="eastAsia"/>
      </w:rPr>
      <w:t>月</w:t>
    </w:r>
    <w:r w:rsidR="00276082">
      <w:rPr>
        <w:rFonts w:eastAsia="標楷體" w:hint="eastAsia"/>
      </w:rPr>
      <w:t>29</w:t>
    </w:r>
    <w:r w:rsidR="00384959">
      <w:rPr>
        <w:rFonts w:eastAsia="標楷體" w:hint="eastAsia"/>
      </w:rPr>
      <w:t>日</w:t>
    </w:r>
  </w:p>
  <w:p w14:paraId="5B9EC156"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CB4056">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746BE22C" w14:textId="77777777" w:rsidR="00384959" w:rsidRDefault="00384959">
    <w:pPr>
      <w:pStyle w:val="a3"/>
      <w:jc w:val="right"/>
    </w:pPr>
  </w:p>
  <w:p w14:paraId="69D09B55" w14:textId="77777777" w:rsidR="00384959" w:rsidRDefault="00384959">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61ED7" w14:textId="77777777" w:rsidR="00F22887" w:rsidRDefault="00F22887">
      <w:r>
        <w:separator/>
      </w:r>
    </w:p>
  </w:footnote>
  <w:footnote w:type="continuationSeparator" w:id="0">
    <w:p w14:paraId="0BCDFBFD" w14:textId="77777777" w:rsidR="00F22887" w:rsidRDefault="00F22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CB8D"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r>
      <w:rPr>
        <w:rFonts w:eastAsia="標楷體" w:hint="eastAsia"/>
        <w:b/>
        <w:sz w:val="36"/>
        <w:szCs w:val="36"/>
      </w:rPr>
      <w:t>1</w:t>
    </w:r>
    <w:r w:rsidR="001557F1">
      <w:rPr>
        <w:rFonts w:eastAsia="標楷體" w:hint="eastAsia"/>
        <w:b/>
        <w:sz w:val="36"/>
        <w:szCs w:val="36"/>
      </w:rPr>
      <w:t>1</w:t>
    </w:r>
    <w:r w:rsidR="0042557C">
      <w:rPr>
        <w:rFonts w:eastAsia="標楷體" w:hint="eastAsia"/>
        <w:b/>
        <w:sz w:val="36"/>
        <w:szCs w:val="36"/>
      </w:rPr>
      <w:t>5</w:t>
    </w:r>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defaultTabStop w:val="720"/>
  <w:noPunctuationKerning/>
  <w:characterSpacingControl w:val="doNotCompress"/>
  <w:hdrShapeDefaults>
    <o:shapedefaults v:ext="edit" spidmax="2135"/>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D6054"/>
    <w:rsid w:val="00004E38"/>
    <w:rsid w:val="000119C4"/>
    <w:rsid w:val="000141F7"/>
    <w:rsid w:val="00016208"/>
    <w:rsid w:val="00024D6D"/>
    <w:rsid w:val="0003215C"/>
    <w:rsid w:val="00036794"/>
    <w:rsid w:val="000428A5"/>
    <w:rsid w:val="00045591"/>
    <w:rsid w:val="00055FA5"/>
    <w:rsid w:val="00060C5C"/>
    <w:rsid w:val="000623F3"/>
    <w:rsid w:val="000715FA"/>
    <w:rsid w:val="00071BEC"/>
    <w:rsid w:val="00074EC1"/>
    <w:rsid w:val="00077299"/>
    <w:rsid w:val="00087FA8"/>
    <w:rsid w:val="00090DBC"/>
    <w:rsid w:val="0009284D"/>
    <w:rsid w:val="000949E5"/>
    <w:rsid w:val="00095AD3"/>
    <w:rsid w:val="000C784D"/>
    <w:rsid w:val="000D63D8"/>
    <w:rsid w:val="000E1BDE"/>
    <w:rsid w:val="000E1E15"/>
    <w:rsid w:val="000F27E3"/>
    <w:rsid w:val="00101BB4"/>
    <w:rsid w:val="00112F0B"/>
    <w:rsid w:val="001163C1"/>
    <w:rsid w:val="0012377E"/>
    <w:rsid w:val="0012454B"/>
    <w:rsid w:val="00135037"/>
    <w:rsid w:val="00141847"/>
    <w:rsid w:val="0015442E"/>
    <w:rsid w:val="001557F1"/>
    <w:rsid w:val="00170DCA"/>
    <w:rsid w:val="00171E8F"/>
    <w:rsid w:val="00171F45"/>
    <w:rsid w:val="0018424A"/>
    <w:rsid w:val="001910D2"/>
    <w:rsid w:val="001B3B88"/>
    <w:rsid w:val="001C5192"/>
    <w:rsid w:val="001C7439"/>
    <w:rsid w:val="001E5D62"/>
    <w:rsid w:val="001F3678"/>
    <w:rsid w:val="001F600C"/>
    <w:rsid w:val="00203BE5"/>
    <w:rsid w:val="0021016E"/>
    <w:rsid w:val="00220052"/>
    <w:rsid w:val="0022574E"/>
    <w:rsid w:val="002266E0"/>
    <w:rsid w:val="00231914"/>
    <w:rsid w:val="002459EE"/>
    <w:rsid w:val="002663B5"/>
    <w:rsid w:val="00274E4C"/>
    <w:rsid w:val="00276082"/>
    <w:rsid w:val="002B6113"/>
    <w:rsid w:val="002C3DDF"/>
    <w:rsid w:val="002D3CE1"/>
    <w:rsid w:val="002D4F25"/>
    <w:rsid w:val="00302AC6"/>
    <w:rsid w:val="00307AB5"/>
    <w:rsid w:val="00310F01"/>
    <w:rsid w:val="00313B97"/>
    <w:rsid w:val="00320E8A"/>
    <w:rsid w:val="00331166"/>
    <w:rsid w:val="00331E8B"/>
    <w:rsid w:val="00335222"/>
    <w:rsid w:val="00337154"/>
    <w:rsid w:val="00356FDA"/>
    <w:rsid w:val="003650F2"/>
    <w:rsid w:val="00365854"/>
    <w:rsid w:val="00384959"/>
    <w:rsid w:val="003A4887"/>
    <w:rsid w:val="003B059C"/>
    <w:rsid w:val="003B18CD"/>
    <w:rsid w:val="003B6B82"/>
    <w:rsid w:val="003C0D92"/>
    <w:rsid w:val="003C3EE3"/>
    <w:rsid w:val="003C7C78"/>
    <w:rsid w:val="003D0E71"/>
    <w:rsid w:val="003D5DDC"/>
    <w:rsid w:val="003D5F03"/>
    <w:rsid w:val="003D7F41"/>
    <w:rsid w:val="003E7528"/>
    <w:rsid w:val="00404CA4"/>
    <w:rsid w:val="00405169"/>
    <w:rsid w:val="00416DFC"/>
    <w:rsid w:val="004225BD"/>
    <w:rsid w:val="0042557C"/>
    <w:rsid w:val="00447DE4"/>
    <w:rsid w:val="004550AD"/>
    <w:rsid w:val="00470496"/>
    <w:rsid w:val="004A46D6"/>
    <w:rsid w:val="004A53AD"/>
    <w:rsid w:val="004A71F5"/>
    <w:rsid w:val="004B5019"/>
    <w:rsid w:val="004C63E2"/>
    <w:rsid w:val="004D675C"/>
    <w:rsid w:val="004D7214"/>
    <w:rsid w:val="004E4247"/>
    <w:rsid w:val="004F2FB2"/>
    <w:rsid w:val="004F49DE"/>
    <w:rsid w:val="00501D38"/>
    <w:rsid w:val="00517354"/>
    <w:rsid w:val="00527273"/>
    <w:rsid w:val="005342D3"/>
    <w:rsid w:val="00542B30"/>
    <w:rsid w:val="00553D8A"/>
    <w:rsid w:val="00566856"/>
    <w:rsid w:val="00585F96"/>
    <w:rsid w:val="005A5D8C"/>
    <w:rsid w:val="005B00FA"/>
    <w:rsid w:val="005C1EF9"/>
    <w:rsid w:val="005C6126"/>
    <w:rsid w:val="005C74AB"/>
    <w:rsid w:val="005E4247"/>
    <w:rsid w:val="005E57E6"/>
    <w:rsid w:val="005F7D40"/>
    <w:rsid w:val="0060098A"/>
    <w:rsid w:val="00601C26"/>
    <w:rsid w:val="006037B7"/>
    <w:rsid w:val="006071A3"/>
    <w:rsid w:val="00607714"/>
    <w:rsid w:val="0063723C"/>
    <w:rsid w:val="00645DF0"/>
    <w:rsid w:val="00647EC3"/>
    <w:rsid w:val="006634F6"/>
    <w:rsid w:val="00671EA3"/>
    <w:rsid w:val="0067494F"/>
    <w:rsid w:val="00677EB3"/>
    <w:rsid w:val="00695E86"/>
    <w:rsid w:val="0069757C"/>
    <w:rsid w:val="006A29C2"/>
    <w:rsid w:val="006A38A1"/>
    <w:rsid w:val="006A437F"/>
    <w:rsid w:val="006B0C80"/>
    <w:rsid w:val="006B1A13"/>
    <w:rsid w:val="006B7A22"/>
    <w:rsid w:val="006E28D7"/>
    <w:rsid w:val="006F398D"/>
    <w:rsid w:val="00700E36"/>
    <w:rsid w:val="00702366"/>
    <w:rsid w:val="007039FE"/>
    <w:rsid w:val="00721E0D"/>
    <w:rsid w:val="00740E1F"/>
    <w:rsid w:val="00752344"/>
    <w:rsid w:val="00760C8C"/>
    <w:rsid w:val="00763A1B"/>
    <w:rsid w:val="00763E2E"/>
    <w:rsid w:val="00771123"/>
    <w:rsid w:val="00772509"/>
    <w:rsid w:val="00776154"/>
    <w:rsid w:val="007815FA"/>
    <w:rsid w:val="007A0EBD"/>
    <w:rsid w:val="007B5090"/>
    <w:rsid w:val="007B7034"/>
    <w:rsid w:val="007C7C96"/>
    <w:rsid w:val="007E2C38"/>
    <w:rsid w:val="007F4CC7"/>
    <w:rsid w:val="00801F6C"/>
    <w:rsid w:val="0083122A"/>
    <w:rsid w:val="00832EB0"/>
    <w:rsid w:val="00836856"/>
    <w:rsid w:val="00841493"/>
    <w:rsid w:val="00843DF4"/>
    <w:rsid w:val="00856001"/>
    <w:rsid w:val="00857ED4"/>
    <w:rsid w:val="008643E6"/>
    <w:rsid w:val="00870B28"/>
    <w:rsid w:val="00886B13"/>
    <w:rsid w:val="008A0161"/>
    <w:rsid w:val="008A3E85"/>
    <w:rsid w:val="008A5D78"/>
    <w:rsid w:val="008A7BC1"/>
    <w:rsid w:val="008C43C6"/>
    <w:rsid w:val="008C741F"/>
    <w:rsid w:val="008D2570"/>
    <w:rsid w:val="008D4A43"/>
    <w:rsid w:val="008E003C"/>
    <w:rsid w:val="008E2424"/>
    <w:rsid w:val="008E3115"/>
    <w:rsid w:val="008E34F6"/>
    <w:rsid w:val="008E4DBB"/>
    <w:rsid w:val="008F789F"/>
    <w:rsid w:val="00903158"/>
    <w:rsid w:val="00913A23"/>
    <w:rsid w:val="00917E8B"/>
    <w:rsid w:val="00936784"/>
    <w:rsid w:val="00943D2C"/>
    <w:rsid w:val="0095793D"/>
    <w:rsid w:val="00960502"/>
    <w:rsid w:val="009668FF"/>
    <w:rsid w:val="009712A0"/>
    <w:rsid w:val="009720D2"/>
    <w:rsid w:val="00986A7C"/>
    <w:rsid w:val="009924C3"/>
    <w:rsid w:val="009B6BD0"/>
    <w:rsid w:val="009C0400"/>
    <w:rsid w:val="009C0CA7"/>
    <w:rsid w:val="009C1122"/>
    <w:rsid w:val="009D38DC"/>
    <w:rsid w:val="009D3F53"/>
    <w:rsid w:val="009D6054"/>
    <w:rsid w:val="009E42BB"/>
    <w:rsid w:val="009E58FD"/>
    <w:rsid w:val="00A07DD8"/>
    <w:rsid w:val="00A265E1"/>
    <w:rsid w:val="00A33880"/>
    <w:rsid w:val="00A34751"/>
    <w:rsid w:val="00A371E6"/>
    <w:rsid w:val="00A57C21"/>
    <w:rsid w:val="00A60B24"/>
    <w:rsid w:val="00A7466E"/>
    <w:rsid w:val="00A77D46"/>
    <w:rsid w:val="00A91D55"/>
    <w:rsid w:val="00AA722D"/>
    <w:rsid w:val="00AC3F0D"/>
    <w:rsid w:val="00AD5210"/>
    <w:rsid w:val="00AE7205"/>
    <w:rsid w:val="00B07B27"/>
    <w:rsid w:val="00B1059E"/>
    <w:rsid w:val="00B13D97"/>
    <w:rsid w:val="00B210EE"/>
    <w:rsid w:val="00B26CC0"/>
    <w:rsid w:val="00B34BB4"/>
    <w:rsid w:val="00B34FDB"/>
    <w:rsid w:val="00B356EA"/>
    <w:rsid w:val="00B40BED"/>
    <w:rsid w:val="00B44798"/>
    <w:rsid w:val="00B5500A"/>
    <w:rsid w:val="00B6032E"/>
    <w:rsid w:val="00B93687"/>
    <w:rsid w:val="00B95B59"/>
    <w:rsid w:val="00B9642A"/>
    <w:rsid w:val="00BA0304"/>
    <w:rsid w:val="00BA7514"/>
    <w:rsid w:val="00BB3B76"/>
    <w:rsid w:val="00BE0352"/>
    <w:rsid w:val="00BF0370"/>
    <w:rsid w:val="00BF25E7"/>
    <w:rsid w:val="00BF3612"/>
    <w:rsid w:val="00C068CB"/>
    <w:rsid w:val="00C2357D"/>
    <w:rsid w:val="00C43F13"/>
    <w:rsid w:val="00C456B9"/>
    <w:rsid w:val="00C97EE0"/>
    <w:rsid w:val="00CA06E3"/>
    <w:rsid w:val="00CA48FD"/>
    <w:rsid w:val="00CA6995"/>
    <w:rsid w:val="00CB031D"/>
    <w:rsid w:val="00CB0B31"/>
    <w:rsid w:val="00CB11C5"/>
    <w:rsid w:val="00CB4056"/>
    <w:rsid w:val="00CC78E1"/>
    <w:rsid w:val="00CD3A61"/>
    <w:rsid w:val="00CD4D4B"/>
    <w:rsid w:val="00CD632E"/>
    <w:rsid w:val="00CE165E"/>
    <w:rsid w:val="00D040B8"/>
    <w:rsid w:val="00D12983"/>
    <w:rsid w:val="00D15825"/>
    <w:rsid w:val="00D30D92"/>
    <w:rsid w:val="00D3299B"/>
    <w:rsid w:val="00D33DF0"/>
    <w:rsid w:val="00D37395"/>
    <w:rsid w:val="00D46620"/>
    <w:rsid w:val="00D53F0D"/>
    <w:rsid w:val="00D7523C"/>
    <w:rsid w:val="00D86D00"/>
    <w:rsid w:val="00D92CAA"/>
    <w:rsid w:val="00D967A2"/>
    <w:rsid w:val="00DA7C01"/>
    <w:rsid w:val="00DB05ED"/>
    <w:rsid w:val="00DB4DFE"/>
    <w:rsid w:val="00DB7B02"/>
    <w:rsid w:val="00DC6026"/>
    <w:rsid w:val="00DE339A"/>
    <w:rsid w:val="00DE6B8E"/>
    <w:rsid w:val="00DF3245"/>
    <w:rsid w:val="00DF35E8"/>
    <w:rsid w:val="00E03F59"/>
    <w:rsid w:val="00E23F80"/>
    <w:rsid w:val="00E24DE2"/>
    <w:rsid w:val="00E30644"/>
    <w:rsid w:val="00E37580"/>
    <w:rsid w:val="00E4031C"/>
    <w:rsid w:val="00E42F5F"/>
    <w:rsid w:val="00E47F06"/>
    <w:rsid w:val="00E5091A"/>
    <w:rsid w:val="00E64F0C"/>
    <w:rsid w:val="00E65DA1"/>
    <w:rsid w:val="00E726F8"/>
    <w:rsid w:val="00E7595A"/>
    <w:rsid w:val="00E81E6F"/>
    <w:rsid w:val="00E84DD4"/>
    <w:rsid w:val="00E9301B"/>
    <w:rsid w:val="00E94F8A"/>
    <w:rsid w:val="00E97C2C"/>
    <w:rsid w:val="00EA40F1"/>
    <w:rsid w:val="00EA6AC7"/>
    <w:rsid w:val="00EB0B2C"/>
    <w:rsid w:val="00EB53BA"/>
    <w:rsid w:val="00EB62BE"/>
    <w:rsid w:val="00EB66F8"/>
    <w:rsid w:val="00EC5C47"/>
    <w:rsid w:val="00ED10E1"/>
    <w:rsid w:val="00ED45AF"/>
    <w:rsid w:val="00ED5714"/>
    <w:rsid w:val="00EF5DF1"/>
    <w:rsid w:val="00F06928"/>
    <w:rsid w:val="00F21545"/>
    <w:rsid w:val="00F21BE2"/>
    <w:rsid w:val="00F22887"/>
    <w:rsid w:val="00F40085"/>
    <w:rsid w:val="00F54E12"/>
    <w:rsid w:val="00F54FB1"/>
    <w:rsid w:val="00FB6DC2"/>
    <w:rsid w:val="00FD39CE"/>
    <w:rsid w:val="00FD3D4F"/>
    <w:rsid w:val="00FE68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5"/>
    <o:shapelayout v:ext="edit">
      <o:idmap v:ext="edit" data="2"/>
    </o:shapelayout>
  </w:shapeDefaults>
  <w:decimalSymbol w:val="."/>
  <w:listSeparator w:val=","/>
  <w14:docId w14:val="31EA9C17"/>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 w:type="paragraph" w:styleId="Web">
    <w:name w:val="Normal (Web)"/>
    <w:basedOn w:val="a"/>
    <w:uiPriority w:val="99"/>
    <w:semiHidden/>
    <w:unhideWhenUsed/>
    <w:rsid w:val="00276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B3E29-1099-4C9B-A5E1-C10A231CD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277</Words>
  <Characters>1580</Characters>
  <Application>Microsoft Office Word</Application>
  <DocSecurity>0</DocSecurity>
  <Lines>13</Lines>
  <Paragraphs>3</Paragraphs>
  <ScaleCrop>false</ScaleCrop>
  <Company>萬芳醫院</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5</cp:revision>
  <cp:lastPrinted>2017-12-19T02:31:00Z</cp:lastPrinted>
  <dcterms:created xsi:type="dcterms:W3CDTF">2025-10-19T23:58:00Z</dcterms:created>
  <dcterms:modified xsi:type="dcterms:W3CDTF">2025-10-28T23:52:00Z</dcterms:modified>
</cp:coreProperties>
</file>