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工具型智能体的可审计结论与完成声明主张证据关联方法及评测协议"/>
    <w:p>
      <w:pPr>
        <w:pStyle w:val="Heading1"/>
      </w:pPr>
      <w:r>
        <w:rPr>
          <w:rFonts w:hint="eastAsia"/>
        </w:rPr>
        <w:t xml:space="preserve">工具型智能体的可审计结论与完成声明：主张证据关联方法及评测协议</w:t>
      </w:r>
    </w:p>
    <w:p>
      <w:pPr>
        <w:pStyle w:val="FirstParagraph"/>
      </w:pPr>
      <w:r>
        <w:rPr>
          <w:b/>
          <w:bCs/>
        </w:rPr>
        <w:t xml:space="preserve">Auditable Conclusions and Completion Claims in Tool-Using Agents: A Claim–Evidence Linking Method and Evaluation Protocol</w:t>
      </w:r>
    </w:p>
    <w:p>
      <w:pPr>
        <w:pStyle w:val="BodyText"/>
      </w:pPr>
      <w:r>
        <w:rPr>
          <w:rFonts w:hint="eastAsia"/>
        </w:rPr>
        <w:t xml:space="preserve">袁成路（Chenglu</w:t>
      </w:r>
      <w:r>
        <w:t xml:space="preserve"> </w:t>
      </w:r>
      <w:r>
        <w:rPr>
          <w:rFonts w:hint="eastAsia"/>
        </w:rPr>
        <w:t xml:space="preserve">Yuan）</w:t>
      </w:r>
      <w:r>
        <w:br/>
      </w:r>
      <w:r>
        <w:t xml:space="preserve">Independent Researcher, Wuhan, China</w:t>
      </w:r>
    </w:p>
    <w:p>
      <w:pPr>
        <w:pStyle w:val="BlockText"/>
      </w:pPr>
      <w:r>
        <w:rPr>
          <w:rFonts w:hint="eastAsia"/>
        </w:rPr>
        <w:t xml:space="preserve">稿件状态：本稿提出方法规范、条件性分析和拟执行的对照研究。尚未完成系统实现、数据集标注或真实实验。全部任务示例均为说明性构造；本文不报告性能提升，不宣称证据链或主张分解为首创。</w:t>
      </w:r>
    </w:p>
    <w:bookmarkStart w:id="18" w:name="摘要"/>
    <w:p>
      <w:pPr>
        <w:pStyle w:val="Heading2"/>
      </w:pPr>
      <w:r>
        <w:rPr>
          <w:rFonts w:hint="eastAsia"/>
        </w:rPr>
        <w:t xml:space="preserve">摘要</w:t>
      </w:r>
    </w:p>
    <w:p>
      <w:pPr>
        <w:pStyle w:val="FirstParagraph"/>
      </w:pPr>
      <w:r>
        <w:rPr>
          <w:rFonts w:hint="eastAsia"/>
        </w:rPr>
        <w:t xml:space="preserve">工具型智能体需要向用户报告检索所得结论和已经完成的工作，但来源存在、来源支持结论、来源内容真实以及任务实际完成，是不同的判断。把检索链接、工具成功状态或完整日志直接作为完成证明，可能掩盖范围遗漏、版本失效和业务验收失败。本文提出面向对外交付的主张证据关联方法，将报告分解为可判定的原子主张，并关联来源片段、版本、工具执行记录、验收条件和判断边界。方法分别处理证据缺失、语义不支持、来源冲突、状态过期与完成条件不足，允许在证据不足时给出有限结论或暂不判断。本文在明确采集可信和规则完备等前提下分析记录可追溯与发布约束的性质，强调哈希和签名不能保证事实真实。拟定实验比较强检索引用、引用修正、结构化执行记录和完整方法，联合测量结论正确性、必要信息覆盖、错误完成声明、审计复核成本及运行开销。当前贡献是一套可以被反驳和复现的研究协议，其效果及独立学术价值仍需实证验证。</w:t>
      </w:r>
    </w:p>
    <w:p>
      <w:pPr>
        <w:pStyle w:val="BodyText"/>
      </w:pPr>
      <w:r>
        <w:rPr>
          <w:rFonts w:hint="eastAsia"/>
          <w:b/>
          <w:bCs/>
        </w:rPr>
        <w:t xml:space="preserve">关键词：</w:t>
      </w:r>
      <w:r>
        <w:t xml:space="preserve"> </w:t>
      </w:r>
      <w:r>
        <w:rPr>
          <w:rFonts w:hint="eastAsia"/>
        </w:rPr>
        <w:t xml:space="preserve">工具型智能体；主张验证；证据来源；完成声明；可审计性；选择性回答</w:t>
      </w:r>
    </w:p>
    <w:bookmarkEnd w:id="18"/>
    <w:bookmarkStart w:id="19" w:name="abstract"/>
    <w:p>
      <w:pPr>
        <w:pStyle w:val="Heading2"/>
      </w:pPr>
      <w:r>
        <w:t xml:space="preserve">Abstract</w:t>
      </w:r>
    </w:p>
    <w:p>
      <w:pPr>
        <w:pStyle w:val="FirstParagraph"/>
      </w:pPr>
      <w:r>
        <w:t xml:space="preserve">Tool-using agents report both factual conclusions and the completion of requested work. However, the presence of a source, its support for a claim, the truth of its contents, and the actual completion of a task are distinct properties. Citations, successful tool returns, and retained execution logs cannot by themselves establish all four. This paper proposes a claim–evidence linking method for externally delivered agent reports. The method decomposes reports into independently assessable claims and associates each claim with evidence spans, source versions, execution records, acceptance conditions, and explicit limits on what can be inferred. Missing evidence, unsupported inferences, conflicting sources, stale states, and unmet completion conditions lead to different reporting decisions, including qualified statements and abstention. We analyze conditional traceability and release constraints while making clear that hashes and signatures do not establish semantic truth. The planned evaluation compares strong retrieval-and-citation systems, citation correction, structured execution reporting, and the complete method under matched resource budgets. Outcomes jointly assess factual accuracy, coverage of required information, false completion claims, audit effort, and execution costs. Adversarial conditions include irrelevant or fabricated evidence, outdated observations, and technically successful calls that fail business-level acceptance. No comparative experiments have been conducted. The present contribution is a falsifiable method specification and evaluation protocol, with effectiveness and research novelty remaining open empirical questions.</w:t>
      </w:r>
    </w:p>
    <w:p>
      <w:pPr>
        <w:pStyle w:val="BodyText"/>
      </w:pPr>
      <w:r>
        <w:rPr>
          <w:b/>
          <w:bCs/>
        </w:rPr>
        <w:t xml:space="preserve">Keywords:</w:t>
      </w:r>
      <w:r>
        <w:t xml:space="preserve"> </w:t>
      </w:r>
      <w:r>
        <w:t xml:space="preserve">tool-using agents; claim verification; evidence provenance; completion claims; auditability; selective answering</w:t>
      </w:r>
    </w:p>
    <w:bookmarkEnd w:id="19"/>
    <w:bookmarkStart w:id="20" w:name="引言"/>
    <w:p>
      <w:pPr>
        <w:pStyle w:val="Heading2"/>
      </w:pPr>
      <w:r>
        <w:t xml:space="preserve">1 </w:t>
      </w:r>
      <w:r>
        <w:rPr>
          <w:rFonts w:hint="eastAsia"/>
        </w:rPr>
        <w:t xml:space="preserve">引言</w:t>
      </w:r>
    </w:p>
    <w:p>
      <w:pPr>
        <w:pStyle w:val="FirstParagraph"/>
      </w:pPr>
      <w:r>
        <w:rPr>
          <w:rFonts w:hint="eastAsia"/>
        </w:rPr>
        <w:t xml:space="preserve">智能体完成操作之后，用户通常只能看到一份简短报告。报告中的“已更新”“全部通过”和“已完成”会影响用户是否继续检查、是否安排后续工作以及是否允许上线。因此，报告质量不能只按语言流畅度判断；它还要准确表达系统实际观察到了什么，以及这些观察能够支持多强的结论。</w:t>
      </w:r>
    </w:p>
    <w:p>
      <w:pPr>
        <w:pStyle w:val="BodyText"/>
      </w:pPr>
      <w:r>
        <w:rPr>
          <w:rFonts w:hint="eastAsia"/>
        </w:rPr>
        <w:t xml:space="preserve">设想一个订单导出任务。工具成功生成文件，智能体便报告“订单已完整导出”。但文件可能遗漏某个分页，也可能使用旧筛选条件。文件存在只支持产物生成这一事实，不能独立支持订单完整性。另一个例子是系统保存了测试成功日志，却在测试后修改代码。日志是真实历史记录，其适用对象已经改变。两类例子都不要求模型凭空编造事实；从有限观察推导过强结论即可产生误报。</w:t>
      </w:r>
    </w:p>
    <w:p>
      <w:pPr>
        <w:pStyle w:val="BodyText"/>
      </w:pPr>
      <w:r>
        <w:rPr>
          <w:rFonts w:hint="eastAsia"/>
        </w:rPr>
        <w:t xml:space="preserve">生成式搜索研究已经区分引用准确性和引用覆盖，ALCE</w:t>
      </w:r>
      <w:r>
        <w:t xml:space="preserve"> </w:t>
      </w:r>
      <w:r>
        <w:rPr>
          <w:rFonts w:hint="eastAsia"/>
        </w:rPr>
        <w:t xml:space="preserve">也把内容正确性与引用质量分开评估[1,2]。这些区分为任务报告提供了起点。工具任务还要求进一步考虑“所描述的状态是否已经发生”和“该状态是否满足用户要求”。本文研究的是最终报告与外部可检查状态之间的关系，不涉及如何改进计划生成、如何压缩长期记忆或如何增加自我反思次数。</w:t>
      </w:r>
    </w:p>
    <w:p>
      <w:pPr>
        <w:pStyle w:val="BodyText"/>
      </w:pPr>
      <w:r>
        <w:rPr>
          <w:rFonts w:hint="eastAsia"/>
        </w:rPr>
        <w:t xml:space="preserve">核心问题是：</w:t>
      </w:r>
      <w:r>
        <w:rPr>
          <w:rFonts w:hint="eastAsia"/>
          <w:b/>
          <w:bCs/>
        </w:rPr>
        <w:t xml:space="preserve">在相同模型与可比较资源预算下，将原子主张绑定可审计证据和验收条件，能否降低错误结论与错误完成声明，同时保留足够的信息覆盖和任务完成能力？</w:t>
      </w:r>
      <w:r>
        <w:t xml:space="preserve"> </w:t>
      </w:r>
      <w:r>
        <w:rPr>
          <w:rFonts w:hint="eastAsia"/>
        </w:rPr>
        <w:t xml:space="preserve">该问题允许否定结果。方法可能只是增加记录成本，也可能通过过度保守减少错误，却使报告失去实用价值。</w:t>
      </w:r>
    </w:p>
    <w:p>
      <w:pPr>
        <w:pStyle w:val="BodyText"/>
      </w:pPr>
      <w:r>
        <w:rPr>
          <w:rFonts w:hint="eastAsia"/>
        </w:rPr>
        <w:t xml:space="preserve">本文拟提供一个面向动态工具任务的主张表示、一套具有明确前提的报告发布规则，以及同时约束正确性和覆盖的评测协议。“可信”在本文中限定为结论依据透明、边界明确且可以复核，不指系统在任意开放环境中保证真相。</w:t>
      </w:r>
    </w:p>
    <w:bookmarkEnd w:id="20"/>
    <w:bookmarkStart w:id="24" w:name="相关工作与研究边界"/>
    <w:p>
      <w:pPr>
        <w:pStyle w:val="Heading2"/>
      </w:pPr>
      <w:r>
        <w:t xml:space="preserve">2 </w:t>
      </w:r>
      <w:r>
        <w:rPr>
          <w:rFonts w:hint="eastAsia"/>
        </w:rPr>
        <w:t xml:space="preserve">相关工作与研究边界</w:t>
      </w:r>
    </w:p>
    <w:bookmarkStart w:id="21" w:name="原子事实引用与检索忠实性"/>
    <w:p>
      <w:pPr>
        <w:pStyle w:val="Heading3"/>
      </w:pPr>
      <w:r>
        <w:t xml:space="preserve">2.1 </w:t>
      </w:r>
      <w:r>
        <w:rPr>
          <w:rFonts w:hint="eastAsia"/>
        </w:rPr>
        <w:t xml:space="preserve">原子事实、引用与检索忠实性</w:t>
      </w:r>
    </w:p>
    <w:p>
      <w:pPr>
        <w:pStyle w:val="FirstParagraph"/>
      </w:pPr>
      <w:r>
        <w:t xml:space="preserve">FActScore </w:t>
      </w:r>
      <w:r>
        <w:rPr>
          <w:rFonts w:hint="eastAsia"/>
        </w:rPr>
        <w:t xml:space="preserve">将长文本拆为原子事实，评估其中获得可靠来源支持的比例[3]。本文沿用可分别判断的主张单位，因而不把“逐条核对事实”作为新贡献。针对用户要求固定的任务，单看已输出主张的正确比例仍不充分：系统可以删除难以支持的信息，使精度上升。因此，本文还需要在输出之外预先确定必须回答的内容。</w:t>
      </w:r>
    </w:p>
    <w:p>
      <w:pPr>
        <w:pStyle w:val="BodyText"/>
      </w:pPr>
      <w:r>
        <w:t xml:space="preserve">ALCE </w:t>
      </w:r>
      <w:r>
        <w:rPr>
          <w:rFonts w:hint="eastAsia"/>
        </w:rPr>
        <w:t xml:space="preserve">提供检索、带引用生成与评价的共同研究环境[1]。Liu</w:t>
      </w:r>
      <w:r>
        <w:t xml:space="preserve"> </w:t>
      </w:r>
      <w:r>
        <w:rPr>
          <w:rFonts w:hint="eastAsia"/>
        </w:rPr>
        <w:t xml:space="preserve">等强调，引用既要支持对应陈述，也要覆盖应有的陈述[2]。RAGTruth</w:t>
      </w:r>
      <w:r>
        <w:t xml:space="preserve"> </w:t>
      </w:r>
      <w:r>
        <w:rPr>
          <w:rFonts w:hint="eastAsia"/>
        </w:rPr>
        <w:t xml:space="preserve">则标注检索增强生成中仍然出现的无支持或冲突内容[4]。这些工作支持把“引用存在”和“引用实际支持陈述”分开，但不支持“有准确引用就能保证引用来源本身真实”这一推论。</w:t>
      </w:r>
    </w:p>
    <w:p>
      <w:pPr>
        <w:pStyle w:val="BodyText"/>
      </w:pPr>
      <w:r>
        <w:t xml:space="preserve">Self-RAG </w:t>
      </w:r>
      <w:r>
        <w:rPr>
          <w:rFonts w:hint="eastAsia"/>
        </w:rPr>
        <w:t xml:space="preserve">通过检索和反思相关训练机制改善生成[5]，CiteFix</w:t>
      </w:r>
      <w:r>
        <w:t xml:space="preserve"> </w:t>
      </w:r>
      <w:r>
        <w:rPr>
          <w:rFonts w:hint="eastAsia"/>
        </w:rPr>
        <w:t xml:space="preserve">研究生成后的引用修正[6]。因此，正式比较不能只采用没有检索、没有核查的普通回答。本文应当与能够重新检索、检查支持关系及选择不回答的强引用系统比较，并给各组相同的外部事实访问权。</w:t>
      </w:r>
    </w:p>
    <w:bookmarkEnd w:id="21"/>
    <w:bookmarkStart w:id="22" w:name="来源记录与主张相对充分性"/>
    <w:p>
      <w:pPr>
        <w:pStyle w:val="Heading3"/>
      </w:pPr>
      <w:r>
        <w:t xml:space="preserve">2.2 </w:t>
      </w:r>
      <w:r>
        <w:rPr>
          <w:rFonts w:hint="eastAsia"/>
        </w:rPr>
        <w:t xml:space="preserve">来源记录与主张相对充分性</w:t>
      </w:r>
    </w:p>
    <w:p>
      <w:pPr>
        <w:pStyle w:val="FirstParagraph"/>
      </w:pPr>
      <w:r>
        <w:t xml:space="preserve">W3C PROV </w:t>
      </w:r>
      <w:r>
        <w:rPr>
          <w:rFonts w:hint="eastAsia"/>
        </w:rPr>
        <w:t xml:space="preserve">用实体、活动及相关责任主体描述数据来源[7]。这一经典规范为记录谁生成了什么、何时使用了哪个版本提供基础。本文不重新发明来源数据模型，也不把记录格式的完整性等同于任务结果的正确性。</w:t>
      </w:r>
    </w:p>
    <w:p>
      <w:pPr>
        <w:pStyle w:val="BodyText"/>
      </w:pPr>
      <w:r>
        <w:rPr>
          <w:rFonts w:hint="eastAsia"/>
        </w:rPr>
        <w:t xml:space="preserve">近期</w:t>
      </w:r>
      <w:r>
        <w:t xml:space="preserve"> ClaimReceipt </w:t>
      </w:r>
      <w:r>
        <w:rPr>
          <w:rFonts w:hint="eastAsia"/>
        </w:rPr>
        <w:t xml:space="preserve">将主张所需证据与实验记录覆盖区分，并研究可复算主张和保留记录范围的验证[8]。这与本文在主张、证据充分性、字段删减和范围承诺方面直接重合。本文拟增加的研究条件是：用户任务执行过程中状态变化，系统必须向用户生成覆盖必要信息的自然语言报告，并把完成声明与外部业务验收绑定。若已有方法迁移后已能解决这些问题，而本文没有额外效益，应将贡献定位为应用与评测，而非独立的新机制。</w:t>
      </w:r>
    </w:p>
    <w:p>
      <w:pPr>
        <w:pStyle w:val="BodyText"/>
      </w:pPr>
      <w:r>
        <w:t xml:space="preserve">Brömme </w:t>
      </w:r>
      <w:r>
        <w:rPr>
          <w:rFonts w:hint="eastAsia"/>
        </w:rPr>
        <w:t xml:space="preserve">的证据模型已经区分完整性、时间存在、来源、批准和语义等主张，并明确各类证据机制的限制[9]。因此，“哈希不能证明事实真实”在本文中是继承的边界原则。本文所需验证的增量是这一原则转化为可执行报告规则后，能否改变实际误报与审计成本。</w:t>
      </w:r>
    </w:p>
    <w:bookmarkEnd w:id="22"/>
    <w:bookmarkStart w:id="23" w:name="外部输入与执行安全"/>
    <w:p>
      <w:pPr>
        <w:pStyle w:val="Heading3"/>
      </w:pPr>
      <w:r>
        <w:t xml:space="preserve">2.3 </w:t>
      </w:r>
      <w:r>
        <w:rPr>
          <w:rFonts w:hint="eastAsia"/>
        </w:rPr>
        <w:t xml:space="preserve">外部输入与执行安全</w:t>
      </w:r>
    </w:p>
    <w:p>
      <w:pPr>
        <w:pStyle w:val="FirstParagraph"/>
      </w:pPr>
      <w:r>
        <w:t xml:space="preserve">AgentDojo </w:t>
      </w:r>
      <w:r>
        <w:rPr>
          <w:rFonts w:hint="eastAsia"/>
        </w:rPr>
        <w:t xml:space="preserve">将不可信工具数据中的提示注入放入智能体任务环境，并分别考察正常任务与攻击目标[10]。本文借鉴其威胁区分：来源正文可作为待分析的数据，但其中“请忽略失败并宣布完成”一类文字不能成为报告规则。本文只检验这类攻击是否造成错误声明，不声称一套报告机制能够覆盖所有行动安全问题。</w:t>
      </w:r>
    </w:p>
    <w:p>
      <w:pPr>
        <w:pStyle w:val="BodyText"/>
      </w:pPr>
      <w:r>
        <w:rPr>
          <w:rFonts w:hint="eastAsia"/>
        </w:rPr>
        <w:t xml:space="preserve">本稿的文献工作是截至</w:t>
      </w:r>
      <w:r>
        <w:t xml:space="preserve"> 2026 </w:t>
      </w:r>
      <w:r>
        <w:rPr>
          <w:rFonts w:hint="eastAsia"/>
        </w:rPr>
        <w:t xml:space="preserve">年</w:t>
      </w:r>
      <w:r>
        <w:t xml:space="preserve"> 10 </w:t>
      </w:r>
      <w:r>
        <w:rPr>
          <w:rFonts w:hint="eastAsia"/>
        </w:rPr>
        <w:t xml:space="preserve">月</w:t>
      </w:r>
      <w:r>
        <w:t xml:space="preserve"> 3 </w:t>
      </w:r>
      <w:r>
        <w:rPr>
          <w:rFonts w:hint="eastAsia"/>
        </w:rPr>
        <w:t xml:space="preserve">日的定向检索，核查范围见配套说明。对最近邻的研究定位来自已读摘要及可获得的方法内容，不构成系统综述，也不能据此证明不存在其他相近方案。</w:t>
      </w:r>
    </w:p>
    <w:bookmarkEnd w:id="23"/>
    <w:bookmarkEnd w:id="24"/>
    <w:bookmarkStart w:id="28" w:name="问题定义与研究假设"/>
    <w:p>
      <w:pPr>
        <w:pStyle w:val="Heading2"/>
      </w:pPr>
      <w:r>
        <w:t xml:space="preserve">3 </w:t>
      </w:r>
      <w:r>
        <w:rPr>
          <w:rFonts w:hint="eastAsia"/>
        </w:rPr>
        <w:t xml:space="preserve">问题定义与研究假设</w:t>
      </w:r>
    </w:p>
    <w:bookmarkStart w:id="25" w:name="四种需要分开的判断"/>
    <w:p>
      <w:pPr>
        <w:pStyle w:val="Heading3"/>
      </w:pPr>
      <w:r>
        <w:t xml:space="preserve">3.1 </w:t>
      </w:r>
      <w:r>
        <w:rPr>
          <w:rFonts w:hint="eastAsia"/>
        </w:rPr>
        <w:t xml:space="preserve">四种需要分开的判断</w:t>
      </w:r>
    </w:p>
    <w:p>
      <w:pPr>
        <w:pStyle w:val="FirstParagraph"/>
      </w:pPr>
      <w:r>
        <w:rPr>
          <w:rFonts w:hint="eastAsia"/>
        </w:rPr>
        <w:t xml:space="preserve">令任务请求为</w:t>
      </w:r>
      <w:r>
        <w:t xml:space="preserve"> </w:t>
      </w:r>
      <m:oMath>
        <m:r>
          <m:t>R</m:t>
        </m:r>
      </m:oMath>
      <w:r>
        <w:rPr>
          <w:rFonts w:hint="eastAsia"/>
        </w:rPr>
        <w:t xml:space="preserve">，执行历史为</w:t>
      </w:r>
      <w:r>
        <w:t xml:space="preserve"> </w:t>
      </w:r>
      <m:oMath>
        <m:r>
          <m:t>H</m:t>
        </m:r>
      </m:oMath>
      <w:r>
        <w:rPr>
          <w:rFonts w:hint="eastAsia"/>
        </w:rPr>
        <w:t xml:space="preserve">，外部状态为</w:t>
      </w:r>
      <w:r>
        <w:t xml:space="preserve"> </w:t>
      </w:r>
      <m:oMath>
        <m:r>
          <m:t>X</m:t>
        </m:r>
      </m:oMath>
      <w:r>
        <w:rPr>
          <w:rFonts w:hint="eastAsia"/>
        </w:rPr>
        <w:t xml:space="preserve">，最终报告为</w:t>
      </w:r>
      <w:r>
        <w:t xml:space="preserve"> </w:t>
      </w:r>
      <m:oMath>
        <m:r>
          <m:t>Y</m:t>
        </m:r>
      </m:oMath>
      <w:r>
        <w:rPr>
          <w:rFonts w:hint="eastAsia"/>
        </w:rPr>
        <w:t xml:space="preserve">。报告包含主张集合</w:t>
      </w:r>
      <w:r>
        <w:t xml:space="preserve"> </w:t>
      </w:r>
      <m:oMath>
        <m:r>
          <m:t>C</m:t>
        </m:r>
        <m:r>
          <m:rPr>
            <m:sty m:val="p"/>
          </m:rPr>
          <m:t>=</m:t>
        </m:r>
        <m:r>
          <m:rPr>
            <m:sty m:val="p"/>
          </m:rPr>
          <m:t>{</m:t>
        </m:r>
        <m:sSub>
          <m:e>
            <m:r>
              <m:t>c</m:t>
            </m:r>
          </m:e>
          <m:sub>
            <m:r>
              <m:t>1</m:t>
            </m:r>
          </m:sub>
        </m:sSub>
        <m:r>
          <m:rPr>
            <m:sty m:val="p"/>
          </m:rPr>
          <m:t>,</m:t>
        </m:r>
        <m:r>
          <m:rPr>
            <m:sty m:val="p"/>
          </m:rPr>
          <m:t>…</m:t>
        </m:r>
        <m:r>
          <m:rPr>
            <m:sty m:val="p"/>
          </m:rPr>
          <m:t>,</m:t>
        </m:r>
        <m:sSub>
          <m:e>
            <m:r>
              <m:t>c</m:t>
            </m:r>
          </m:e>
          <m:sub>
            <m:r>
              <m:t>n</m:t>
            </m:r>
          </m:sub>
        </m:sSub>
        <m:r>
          <m:rPr>
            <m:sty m:val="p"/>
          </m:rPr>
          <m:t>}</m:t>
        </m:r>
      </m:oMath>
      <w:r>
        <w:rPr>
          <w:rFonts w:hint="eastAsia"/>
        </w:rPr>
        <w:t xml:space="preserve">。一个主张至少表达对象、谓词、范围和适用时刻，例如“需求版本二对应的三项导出检查，在文件版本五上全部通过”。如果同一句话包含生成文件、数据完整和成功发布三个可独立失败的部分，应拆成三个主张。</w:t>
      </w:r>
    </w:p>
    <w:p>
      <w:pPr>
        <w:pStyle w:val="BodyText"/>
      </w:pPr>
      <w:r>
        <w:rPr>
          <w:rFonts w:hint="eastAsia"/>
        </w:rPr>
        <w:t xml:space="preserve">对每条主张区分四个问题：证据记录是否可访问；证据内容是否支持该主张；来源及采集过程是否足以使该内容可信；对应任务是否通过约定验收。本文将第二个问题简称“支持关系”，即从证据内容能否合理得到所述结论。语言模型只能对其作有误差的估计，不能把高分作为逻辑证明。</w:t>
      </w:r>
    </w:p>
    <w:p>
      <w:pPr>
        <w:pStyle w:val="BodyText"/>
      </w:pPr>
      <w:r>
        <w:rPr>
          <w:rFonts w:hint="eastAsia"/>
        </w:rPr>
        <w:t xml:space="preserve">来源真实也有层次。数字签名在密钥、算法和身份关联可靠时，可以帮助确认某个主体签署了记录；签署者仍可能犯错。内容哈希用于识别字节变化；原始记录已经错误时，哈希不会修正错误。本文将工具采集端被完全控制的情形列为保障范围之外，并把该前提显式呈现给审计者。</w:t>
      </w:r>
    </w:p>
    <w:bookmarkEnd w:id="25"/>
    <w:bookmarkStart w:id="26" w:name="主张和证据的最小表示"/>
    <w:p>
      <w:pPr>
        <w:pStyle w:val="Heading3"/>
      </w:pPr>
      <w:r>
        <w:t xml:space="preserve">3.2 </w:t>
      </w:r>
      <w:r>
        <w:rPr>
          <w:rFonts w:hint="eastAsia"/>
        </w:rPr>
        <w:t xml:space="preserve">主张和证据的最小表示</w:t>
      </w:r>
    </w:p>
    <w:p>
      <w:pPr>
        <w:pStyle w:val="FirstParagraph"/>
      </w:pPr>
      <w:r>
        <w:rPr>
          <w:rFonts w:hint="eastAsia"/>
        </w:rPr>
        <w:t xml:space="preserve">定义主张记录</w:t>
      </w:r>
    </w:p>
    <w:p>
      <w:pPr>
        <w:pStyle w:val="BodyText"/>
      </w:pPr>
      <m:oMathPara>
        <m:oMathParaPr>
          <m:jc m:val="center"/>
        </m:oMathParaPr>
        <m:oMath>
          <m:sSub>
            <m:e>
              <m:r>
                <m:t>c</m:t>
              </m:r>
            </m:e>
            <m:sub>
              <m:r>
                <m:t>i</m:t>
              </m:r>
            </m:sub>
          </m:sSub>
          <m:r>
            <m:rPr>
              <m:sty m:val="p"/>
            </m:rPr>
            <m:t>=</m:t>
          </m:r>
          <m:r>
            <m:rPr>
              <m:sty m:val="p"/>
            </m:rPr>
            <m:t>(</m:t>
          </m:r>
          <m:r>
            <m:t>i</m:t>
          </m:r>
          <m:sSub>
            <m:e>
              <m:r>
                <m:t>d</m:t>
              </m:r>
            </m:e>
            <m:sub>
              <m:r>
                <m:t>i</m:t>
              </m:r>
            </m:sub>
          </m:sSub>
          <m:r>
            <m:rPr>
              <m:sty m:val="p"/>
            </m:rPr>
            <m:t>,</m:t>
          </m:r>
          <m:sSub>
            <m:e>
              <m:r>
                <m:t>p</m:t>
              </m:r>
            </m:e>
            <m:sub>
              <m:r>
                <m:t>i</m:t>
              </m:r>
            </m:sub>
          </m:sSub>
          <m:r>
            <m:rPr>
              <m:sty m:val="p"/>
            </m:rPr>
            <m:t>,</m:t>
          </m:r>
          <m:sSub>
            <m:e>
              <m:r>
                <m:t>o</m:t>
              </m:r>
            </m:e>
            <m:sub>
              <m:r>
                <m:t>i</m:t>
              </m:r>
            </m:sub>
          </m:sSub>
          <m:r>
            <m:rPr>
              <m:sty m:val="p"/>
            </m:rPr>
            <m:t>,</m:t>
          </m:r>
          <m:sSub>
            <m:e>
              <m:r>
                <m:t>s</m:t>
              </m:r>
            </m:e>
            <m:sub>
              <m:r>
                <m:t>i</m:t>
              </m:r>
            </m:sub>
          </m:sSub>
          <m:r>
            <m:rPr>
              <m:sty m:val="p"/>
            </m:rPr>
            <m:t>,</m:t>
          </m:r>
          <m:sSub>
            <m:e>
              <m:r>
                <m:t>t</m:t>
              </m:r>
            </m:e>
            <m:sub>
              <m:r>
                <m:t>i</m:t>
              </m:r>
            </m:sub>
          </m:sSub>
          <m:r>
            <m:rPr>
              <m:sty m:val="p"/>
            </m:rPr>
            <m:t>,</m:t>
          </m:r>
          <m:sSub>
            <m:e>
              <m:r>
                <m:t>v</m:t>
              </m:r>
            </m:e>
            <m:sub>
              <m:r>
                <m:t>i</m:t>
              </m:r>
            </m:sub>
          </m:sSub>
          <m:r>
            <m:rPr>
              <m:sty m:val="p"/>
            </m:rPr>
            <m:t>,</m:t>
          </m:r>
          <m:sSub>
            <m:e>
              <m:r>
                <m:t>k</m:t>
              </m:r>
            </m:e>
            <m:sub>
              <m:r>
                <m:t>i</m:t>
              </m:r>
            </m:sub>
          </m:sSub>
          <m:r>
            <m:rPr>
              <m:sty m:val="p"/>
            </m:rPr>
            <m:t>,</m:t>
          </m:r>
          <m:sSub>
            <m:e>
              <m:r>
                <m:t>A</m:t>
              </m:r>
            </m:e>
            <m:sub>
              <m:r>
                <m:t>i</m:t>
              </m:r>
            </m:sub>
          </m:sSub>
          <m:r>
            <m:rPr>
              <m:sty m:val="p"/>
            </m:rPr>
            <m:t>)</m:t>
          </m:r>
          <m:r>
            <m:rPr>
              <m:sty m:val="p"/>
            </m:rPr>
            <m:t>,</m:t>
          </m:r>
        </m:oMath>
      </m:oMathPara>
    </w:p>
    <w:p>
      <w:pPr>
        <w:pStyle w:val="FirstParagraph"/>
      </w:pPr>
      <w:r>
        <w:rPr>
          <w:rFonts w:hint="eastAsia"/>
        </w:rPr>
        <w:t xml:space="preserve">其中</w:t>
      </w:r>
      <w:r>
        <w:t xml:space="preserve"> </w:t>
      </w:r>
      <m:oMath>
        <m:sSub>
          <m:e>
            <m:r>
              <m:t>p</m:t>
            </m:r>
          </m:e>
          <m:sub>
            <m:r>
              <m:t>i</m:t>
            </m:r>
          </m:sub>
        </m:sSub>
      </m:oMath>
      <w:r>
        <w:t xml:space="preserve"> </w:t>
      </w:r>
      <w:r>
        <w:rPr>
          <w:rFonts w:hint="eastAsia"/>
        </w:rPr>
        <w:t xml:space="preserve">是可判定谓词，</w:t>
      </w:r>
      <m:oMath>
        <m:sSub>
          <m:e>
            <m:r>
              <m:t>o</m:t>
            </m:r>
          </m:e>
          <m:sub>
            <m:r>
              <m:t>i</m:t>
            </m:r>
          </m:sub>
        </m:sSub>
      </m:oMath>
      <w:r>
        <w:t xml:space="preserve"> </w:t>
      </w:r>
      <w:r>
        <w:rPr>
          <w:rFonts w:hint="eastAsia"/>
        </w:rPr>
        <w:t xml:space="preserve">是对象，</w:t>
      </w:r>
      <m:oMath>
        <m:sSub>
          <m:e>
            <m:r>
              <m:t>s</m:t>
            </m:r>
          </m:e>
          <m:sub>
            <m:r>
              <m:t>i</m:t>
            </m:r>
          </m:sub>
        </m:sSub>
      </m:oMath>
      <w:r>
        <w:t xml:space="preserve"> </w:t>
      </w:r>
      <w:r>
        <w:rPr>
          <w:rFonts w:hint="eastAsia"/>
        </w:rPr>
        <w:t xml:space="preserve">是范围，</w:t>
      </w:r>
      <m:oMath>
        <m:sSub>
          <m:e>
            <m:r>
              <m:t>t</m:t>
            </m:r>
          </m:e>
          <m:sub>
            <m:r>
              <m:t>i</m:t>
            </m:r>
          </m:sub>
        </m:sSub>
      </m:oMath>
      <w:r>
        <w:t xml:space="preserve"> </w:t>
      </w:r>
      <w:r>
        <w:rPr>
          <w:rFonts w:hint="eastAsia"/>
        </w:rPr>
        <w:t xml:space="preserve">是适用时间，</w:t>
      </w:r>
      <m:oMath>
        <m:sSub>
          <m:e>
            <m:r>
              <m:t>v</m:t>
            </m:r>
          </m:e>
          <m:sub>
            <m:r>
              <m:t>i</m:t>
            </m:r>
          </m:sub>
        </m:sSub>
      </m:oMath>
      <w:r>
        <w:t xml:space="preserve"> </w:t>
      </w:r>
      <w:r>
        <w:rPr>
          <w:rFonts w:hint="eastAsia"/>
        </w:rPr>
        <w:t xml:space="preserve">是任务和产物版本，</w:t>
      </w:r>
      <m:oMath>
        <m:sSub>
          <m:e>
            <m:r>
              <m:t>k</m:t>
            </m:r>
          </m:e>
          <m:sub>
            <m:r>
              <m:t>i</m:t>
            </m:r>
          </m:sub>
        </m:sSub>
      </m:oMath>
      <w:r>
        <w:t xml:space="preserve"> </w:t>
      </w:r>
      <w:r>
        <w:rPr>
          <w:rFonts w:hint="eastAsia"/>
        </w:rPr>
        <w:t xml:space="preserve">区分来源转述、系统观察、推断及完成声明，</w:t>
      </w:r>
      <m:oMath>
        <m:sSub>
          <m:e>
            <m:r>
              <m:t>A</m:t>
            </m:r>
          </m:e>
          <m:sub>
            <m:r>
              <m:t>i</m:t>
            </m:r>
          </m:sub>
        </m:sSub>
      </m:oMath>
      <w:r>
        <w:t xml:space="preserve"> </w:t>
      </w:r>
      <w:r>
        <w:rPr>
          <w:rFonts w:hint="eastAsia"/>
        </w:rPr>
        <w:t xml:space="preserve">是适用验收条件。来源转述应写成“文档称……”，不能省略限定后冒充系统直接确认。</w:t>
      </w:r>
    </w:p>
    <w:p>
      <w:pPr>
        <w:pStyle w:val="BodyText"/>
      </w:pPr>
      <w:r>
        <w:rPr>
          <w:rFonts w:hint="eastAsia"/>
        </w:rPr>
        <w:t xml:space="preserve">证据记录</w:t>
      </w:r>
      <w:r>
        <w:t xml:space="preserve"> </w:t>
      </w:r>
      <m:oMath>
        <m:sSub>
          <m:e>
            <m:r>
              <m:t>e</m:t>
            </m:r>
          </m:e>
          <m:sub>
            <m:r>
              <m:t>j</m:t>
            </m:r>
          </m:sub>
        </m:sSub>
      </m:oMath>
      <w:r>
        <w:t xml:space="preserve"> </w:t>
      </w:r>
      <w:r>
        <w:rPr>
          <w:rFonts w:hint="eastAsia"/>
        </w:rPr>
        <w:t xml:space="preserve">包含原始来源标识、相关片段定位、采集时刻、来源版本、工具名称和调用编号、请求与返回状态、产物标识、采集责任及访问限制。证据中的敏感内容可在授权范围内保存，公开报告只给可访问引用。若审计者看不到决定性内容，状态应为“无法独立复核”，而非自动认定通过。</w:t>
      </w:r>
    </w:p>
    <w:p>
      <w:pPr>
        <w:pStyle w:val="BodyText"/>
      </w:pPr>
      <w:r>
        <w:rPr>
          <w:rFonts w:hint="eastAsia"/>
        </w:rPr>
        <w:t xml:space="preserve">主张和证据之间建立有类型的关联，包括支持、反驳、限定和依赖。支持边附带核对方法、使用的验收器版本和判断理由。多个网站转引同一原始公告时，保留共同来源，不把转载数量计作独立确认次数。本文不要求保存模型的私有思维过程，保存的是足以复核对外结论的依据与操作记录。</w:t>
      </w:r>
    </w:p>
    <w:bookmarkEnd w:id="26"/>
    <w:bookmarkStart w:id="27" w:name="假设与反驳条件"/>
    <w:p>
      <w:pPr>
        <w:pStyle w:val="Heading3"/>
      </w:pPr>
      <w:r>
        <w:t xml:space="preserve">3.3 </w:t>
      </w:r>
      <w:r>
        <w:rPr>
          <w:rFonts w:hint="eastAsia"/>
        </w:rPr>
        <w:t xml:space="preserve">假设与反驳条件</w:t>
      </w:r>
    </w:p>
    <w:p>
      <w:pPr>
        <w:pStyle w:val="FirstParagraph"/>
      </w:pPr>
      <w:r>
        <w:rPr>
          <w:rFonts w:hint="eastAsia"/>
        </w:rPr>
        <w:t xml:space="preserve">H1：完整方法相较强引用基线能够降低错误完成声明，并维持必要信息覆盖不低于预先规定的可接受界限。若只有报告更短而错误减少，H1</w:t>
      </w:r>
      <w:r>
        <w:t xml:space="preserve"> </w:t>
      </w:r>
      <w:r>
        <w:rPr>
          <w:rFonts w:hint="eastAsia"/>
        </w:rPr>
        <w:t xml:space="preserve">不成立。</w:t>
      </w:r>
    </w:p>
    <w:p>
      <w:pPr>
        <w:pStyle w:val="BodyText"/>
      </w:pPr>
      <w:r>
        <w:rPr>
          <w:rFonts w:hint="eastAsia"/>
        </w:rPr>
        <w:t xml:space="preserve">H2：版本与范围字段在旧证据复用和遗漏验收条件下具有增量作用。若删除字段并保持核查预算后无实质差异，就没有证据说明该字段设计值得维护。</w:t>
      </w:r>
    </w:p>
    <w:p>
      <w:pPr>
        <w:pStyle w:val="BodyText"/>
      </w:pPr>
      <w:r>
        <w:rPr>
          <w:rFonts w:hint="eastAsia"/>
        </w:rPr>
        <w:t xml:space="preserve">H3：审计者借助主张定位可以更快作出正确判断。若复核更快却错误更多，或耗时转移为前置整理成本，不能判为审计效率提升。</w:t>
      </w:r>
    </w:p>
    <w:p>
      <w:pPr>
        <w:pStyle w:val="BodyText"/>
      </w:pPr>
      <w:r>
        <w:rPr>
          <w:rFonts w:hint="eastAsia"/>
        </w:rPr>
        <w:t xml:space="preserve">上述假设均待实验检验，不以方法形式化或示例演算代替实证。</w:t>
      </w:r>
    </w:p>
    <w:bookmarkEnd w:id="27"/>
    <w:bookmarkEnd w:id="28"/>
    <w:bookmarkStart w:id="34" w:name="主张证据关联方法"/>
    <w:p>
      <w:pPr>
        <w:pStyle w:val="Heading2"/>
      </w:pPr>
      <w:r>
        <w:t xml:space="preserve">4 </w:t>
      </w:r>
      <w:r>
        <w:rPr>
          <w:rFonts w:hint="eastAsia"/>
        </w:rPr>
        <w:t xml:space="preserve">主张证据关联方法</w:t>
      </w:r>
    </w:p>
    <w:bookmarkStart w:id="29" w:name="先确定报告义务"/>
    <w:p>
      <w:pPr>
        <w:pStyle w:val="Heading3"/>
      </w:pPr>
      <w:r>
        <w:t xml:space="preserve">4.1 </w:t>
      </w:r>
      <w:r>
        <w:rPr>
          <w:rFonts w:hint="eastAsia"/>
        </w:rPr>
        <w:t xml:space="preserve">先确定报告义务</w:t>
      </w:r>
    </w:p>
    <w:p>
      <w:pPr>
        <w:pStyle w:val="FirstParagraph"/>
      </w:pPr>
      <w:r>
        <w:rPr>
          <w:rFonts w:hint="eastAsia"/>
        </w:rPr>
        <w:t xml:space="preserve">任务开始时从请求中提取必要信息集合</w:t>
      </w:r>
      <w:r>
        <w:t xml:space="preserve"> </w:t>
      </w:r>
      <m:oMath>
        <m:r>
          <m:t>U</m:t>
        </m:r>
      </m:oMath>
      <w:r>
        <w:rPr>
          <w:rFonts w:hint="eastAsia"/>
        </w:rPr>
        <w:t xml:space="preserve">：必须交付的产物、必须满足的条件以及必须说明的限制。它类似交付清单，防止报告只挑选容易证明的部分。任务要求变化后产生新版本</w:t>
      </w:r>
      <w:r>
        <w:t xml:space="preserve"> </w:t>
      </w:r>
      <m:oMath>
        <m:sSup>
          <m:e>
            <m:r>
              <m:t>U</m:t>
            </m:r>
          </m:e>
          <m:sup>
            <m:r>
              <m:rPr>
                <m:sty m:val="p"/>
              </m:rPr>
              <m:t>(</m:t>
            </m:r>
            <m:r>
              <m:t>r</m:t>
            </m:r>
            <m:r>
              <m:rPr>
                <m:sty m:val="p"/>
              </m:rPr>
              <m:t>)</m:t>
            </m:r>
          </m:sup>
        </m:sSup>
      </m:oMath>
      <w:r>
        <w:rPr>
          <w:rFonts w:hint="eastAsia"/>
        </w:rPr>
        <w:t xml:space="preserve">，保留变更来源。范围不清楚的要求单列为待解释项，不能在执行后悄悄从清单删除。</w:t>
      </w:r>
    </w:p>
    <w:p>
      <w:pPr>
        <w:pStyle w:val="BodyText"/>
      </w:pPr>
      <w:r>
        <w:rPr>
          <w:rFonts w:hint="eastAsia"/>
        </w:rPr>
        <w:t xml:space="preserve">拟实现由语言模型提取候选义务，由确定性规则处理明确字段，由独立审阅者在研究数据中形成金标准。产品系统中的自动提取并不天然正确；实验同时评估义务遗漏，避免把抽取器错误隐藏在后续高覆盖率中。正式验收以外部预先标注的义务为分母。</w:t>
      </w:r>
    </w:p>
    <w:bookmarkEnd w:id="29"/>
    <w:bookmarkStart w:id="30" w:name="在采集时保留证据边界"/>
    <w:p>
      <w:pPr>
        <w:pStyle w:val="Heading3"/>
      </w:pPr>
      <w:r>
        <w:t xml:space="preserve">4.2 </w:t>
      </w:r>
      <w:r>
        <w:rPr>
          <w:rFonts w:hint="eastAsia"/>
        </w:rPr>
        <w:t xml:space="preserve">在采集时保留证据边界</w:t>
      </w:r>
    </w:p>
    <w:p>
      <w:pPr>
        <w:pStyle w:val="FirstParagraph"/>
      </w:pPr>
      <w:r>
        <w:rPr>
          <w:rFonts w:hint="eastAsia"/>
        </w:rPr>
        <w:t xml:space="preserve">检索内容保存实际读取的片段与时刻，工具结果保存原始状态和关联对象。模型自己写出的“工具成功”不能替代工具返回。异步任务的“已受理”和“已结束”分别存储。调用超时不推定成功或失败，而进入结果未知状态，在预算允许时读取实际对象状态。</w:t>
      </w:r>
    </w:p>
    <w:p>
      <w:pPr>
        <w:pStyle w:val="BodyText"/>
      </w:pPr>
      <w:r>
        <w:rPr>
          <w:rFonts w:hint="eastAsia"/>
        </w:rPr>
        <w:t xml:space="preserve">对于完成声明，拟采用与执行步骤不同的结果检查路径。例如，文件生成后读取文件并检验字段、行数与筛选条件，发布操作后查询发布状态。独立路径可减少同一错误被重复复述，但如果执行和核查都依赖同一个失真的后端，仍可能产生相关错误。记录中因此说明检查所依赖的系统和无法观察的部分。</w:t>
      </w:r>
    </w:p>
    <w:bookmarkEnd w:id="30"/>
    <w:bookmarkStart w:id="31" w:name="分别检查结构语义和验收"/>
    <w:p>
      <w:pPr>
        <w:pStyle w:val="Heading3"/>
      </w:pPr>
      <w:r>
        <w:t xml:space="preserve">4.3 </w:t>
      </w:r>
      <w:r>
        <w:rPr>
          <w:rFonts w:hint="eastAsia"/>
        </w:rPr>
        <w:t xml:space="preserve">分别检查结构、语义和验收</w:t>
      </w:r>
    </w:p>
    <w:p>
      <w:pPr>
        <w:pStyle w:val="FirstParagraph"/>
      </w:pPr>
      <w:r>
        <w:rPr>
          <w:rFonts w:hint="eastAsia"/>
        </w:rPr>
        <w:t xml:space="preserve">第一层检查主张能否定位到实际证据，以及请求、对象、版本是否匹配。第二层判断证据支持、反驳或不足以判断主张。第三层为完成声明核对每个必要验收条件。三层结果分别保存，避免一个综合分数遮蔽失败原因。</w:t>
      </w:r>
    </w:p>
    <w:p>
      <w:pPr>
        <w:pStyle w:val="BodyText"/>
      </w:pPr>
      <w:r>
        <w:rPr>
          <w:rFonts w:hint="eastAsia"/>
        </w:rPr>
        <w:t xml:space="preserve">对</w:t>
      </w:r>
      <w:r>
        <w:t xml:space="preserve"> </w:t>
      </w:r>
      <m:oMath>
        <m:sSub>
          <m:e>
            <m:r>
              <m:t>c</m:t>
            </m:r>
          </m:e>
          <m:sub>
            <m:r>
              <m:t>i</m:t>
            </m:r>
          </m:sub>
        </m:sSub>
      </m:oMath>
      <w:r>
        <w:t xml:space="preserve"> </w:t>
      </w:r>
      <w:r>
        <w:rPr>
          <w:rFonts w:hint="eastAsia"/>
        </w:rPr>
        <w:t xml:space="preserve">定义准入谓词</w:t>
      </w:r>
    </w:p>
    <w:p>
      <w:pPr>
        <w:pStyle w:val="BodyText"/>
      </w:pPr>
      <m:oMathPara>
        <m:oMathParaPr>
          <m:jc m:val="center"/>
        </m:oMathParaPr>
        <m:oMath>
          <m:r>
            <m:t>G</m:t>
          </m:r>
          <m:r>
            <m:rPr>
              <m:sty m:val="p"/>
            </m:rPr>
            <m:t>(</m:t>
          </m:r>
          <m:sSub>
            <m:e>
              <m:r>
                <m:t>c</m:t>
              </m:r>
            </m:e>
            <m:sub>
              <m:r>
                <m:t>i</m:t>
              </m:r>
            </m:sub>
          </m:sSub>
          <m:r>
            <m:rPr>
              <m:sty m:val="p"/>
            </m:rPr>
            <m:t>)</m:t>
          </m:r>
          <m:r>
            <m:rPr>
              <m:sty m:val="p"/>
            </m:rPr>
            <m:t>=</m:t>
          </m:r>
          <m:sSub>
            <m:e>
              <m:r>
                <m:t>L</m:t>
              </m:r>
            </m:e>
            <m:sub>
              <m:r>
                <m:t>i</m:t>
              </m:r>
            </m:sub>
          </m:sSub>
          <m:r>
            <m:rPr>
              <m:sty m:val="p"/>
            </m:rPr>
            <m:t>∧</m:t>
          </m:r>
          <m:sSub>
            <m:e>
              <m:r>
                <m:t>V</m:t>
              </m:r>
            </m:e>
            <m:sub>
              <m:r>
                <m:t>i</m:t>
              </m:r>
            </m:sub>
          </m:sSub>
          <m:r>
            <m:rPr>
              <m:sty m:val="p"/>
            </m:rPr>
            <m:t>∧</m:t>
          </m:r>
          <m:sSub>
            <m:e>
              <m:r>
                <m:t>S</m:t>
              </m:r>
            </m:e>
            <m:sub>
              <m:r>
                <m:t>i</m:t>
              </m:r>
            </m:sub>
          </m:sSub>
          <m:r>
            <m:rPr>
              <m:sty m:val="p"/>
            </m:rPr>
            <m:t>∧</m:t>
          </m:r>
          <m:r>
            <m:rPr>
              <m:sty m:val="p"/>
            </m:rPr>
            <m:t>¬</m:t>
          </m:r>
          <m:sSub>
            <m:e>
              <m:r>
                <m:t>K</m:t>
              </m:r>
            </m:e>
            <m:sub>
              <m:r>
                <m:t>i</m:t>
              </m:r>
            </m:sub>
          </m:sSub>
          <m:r>
            <m:rPr>
              <m:sty m:val="p"/>
            </m:rPr>
            <m:t>∧</m:t>
          </m:r>
          <m:sSub>
            <m:e>
              <m:r>
                <m:t>B</m:t>
              </m:r>
            </m:e>
            <m:sub>
              <m:r>
                <m:t>i</m:t>
              </m:r>
            </m:sub>
          </m:sSub>
          <m:r>
            <m:rPr>
              <m:sty m:val="p"/>
            </m:rPr>
            <m:t>,</m:t>
          </m:r>
        </m:oMath>
      </m:oMathPara>
    </w:p>
    <w:p>
      <w:pPr>
        <w:pStyle w:val="FirstParagraph"/>
      </w:pPr>
      <w:r>
        <w:rPr>
          <w:rFonts w:hint="eastAsia"/>
        </w:rPr>
        <w:t xml:space="preserve">其中</w:t>
      </w:r>
      <w:r>
        <w:t xml:space="preserve"> </w:t>
      </w:r>
      <m:oMath>
        <m:sSub>
          <m:e>
            <m:r>
              <m:t>L</m:t>
            </m:r>
          </m:e>
          <m:sub>
            <m:r>
              <m:t>i</m:t>
            </m:r>
          </m:sub>
        </m:sSub>
      </m:oMath>
      <w:r>
        <w:t xml:space="preserve"> </w:t>
      </w:r>
      <w:r>
        <w:rPr>
          <w:rFonts w:hint="eastAsia"/>
        </w:rPr>
        <w:t xml:space="preserve">表示证据可定位，</w:t>
      </w:r>
      <m:oMath>
        <m:sSub>
          <m:e>
            <m:r>
              <m:t>V</m:t>
            </m:r>
          </m:e>
          <m:sub>
            <m:r>
              <m:t>i</m:t>
            </m:r>
          </m:sub>
        </m:sSub>
      </m:oMath>
      <w:r>
        <w:t xml:space="preserve"> </w:t>
      </w:r>
      <w:r>
        <w:rPr>
          <w:rFonts w:hint="eastAsia"/>
        </w:rPr>
        <w:t xml:space="preserve">表示已定义的版本和时效要求通过，</w:t>
      </w:r>
      <m:oMath>
        <m:sSub>
          <m:e>
            <m:r>
              <m:t>S</m:t>
            </m:r>
          </m:e>
          <m:sub>
            <m:r>
              <m:t>i</m:t>
            </m:r>
          </m:sub>
        </m:sSub>
      </m:oMath>
      <w:r>
        <w:t xml:space="preserve"> </w:t>
      </w:r>
      <w:r>
        <w:rPr>
          <w:rFonts w:hint="eastAsia"/>
        </w:rPr>
        <w:t xml:space="preserve">表示支持关系检查通过，</w:t>
      </w:r>
      <m:oMath>
        <m:sSub>
          <m:e>
            <m:r>
              <m:t>K</m:t>
            </m:r>
          </m:e>
          <m:sub>
            <m:r>
              <m:t>i</m:t>
            </m:r>
          </m:sub>
        </m:sSub>
      </m:oMath>
      <w:r>
        <w:t xml:space="preserve"> </w:t>
      </w:r>
      <w:r>
        <w:rPr>
          <w:rFonts w:hint="eastAsia"/>
        </w:rPr>
        <w:t xml:space="preserve">表示存在未解决的实质冲突，</w:t>
      </w:r>
      <m:oMath>
        <m:sSub>
          <m:e>
            <m:r>
              <m:t>B</m:t>
            </m:r>
          </m:e>
          <m:sub>
            <m:r>
              <m:t>i</m:t>
            </m:r>
          </m:sub>
        </m:sSub>
      </m:oMath>
      <w:r>
        <w:t xml:space="preserve"> </w:t>
      </w:r>
      <w:r>
        <w:rPr>
          <w:rFonts w:hint="eastAsia"/>
        </w:rPr>
        <w:t xml:space="preserve">表示该类主张必需的来源及验收条件通过。不同主张的</w:t>
      </w:r>
      <w:r>
        <w:t xml:space="preserve"> </w:t>
      </w:r>
      <m:oMath>
        <m:sSub>
          <m:e>
            <m:r>
              <m:t>B</m:t>
            </m:r>
          </m:e>
          <m:sub>
            <m:r>
              <m:t>i</m:t>
            </m:r>
          </m:sub>
        </m:sSub>
      </m:oMath>
      <w:r>
        <w:t xml:space="preserve"> </w:t>
      </w:r>
      <w:r>
        <w:rPr>
          <w:rFonts w:hint="eastAsia"/>
        </w:rPr>
        <w:t xml:space="preserve">不同：转述需要准确限定出处；完成声明还要求外部状态检查。任何必需项为未知都不能使合取为真。</w:t>
      </w:r>
    </w:p>
    <w:p>
      <w:pPr>
        <w:pStyle w:val="BodyText"/>
      </w:pPr>
      <w:r>
        <w:rPr>
          <w:rFonts w:hint="eastAsia"/>
        </w:rPr>
        <w:t xml:space="preserve">该表达式规定系统怎样发布断言，不把这些可错检查当作真相判定器。公开报告中“证据充分”只表示通过当前版本规则，必须伴随检查范围；禁止将其自动改写为“绝对正确”。</w:t>
      </w:r>
    </w:p>
    <w:bookmarkEnd w:id="31"/>
    <w:bookmarkStart w:id="32" w:name="冲突过期和受限回答"/>
    <w:p>
      <w:pPr>
        <w:pStyle w:val="Heading3"/>
      </w:pPr>
      <w:r>
        <w:t xml:space="preserve">4.4 </w:t>
      </w:r>
      <w:r>
        <w:rPr>
          <w:rFonts w:hint="eastAsia"/>
        </w:rPr>
        <w:t xml:space="preserve">冲突、过期和受限回答</w:t>
      </w:r>
    </w:p>
    <w:p>
      <w:pPr>
        <w:pStyle w:val="FirstParagraph"/>
      </w:pPr>
      <w:r>
        <w:rPr>
          <w:rFonts w:hint="eastAsia"/>
        </w:rPr>
        <w:t xml:space="preserve">相互冲突的来源先核对对象、时间和适用范围。两个看似矛盾的数字可能来自不同统计口径；在口径无法对齐前应说明差异。来源优先规则要在任务前约定，例如对当前订单状态优先读取指定业务系统。不能仅凭发布日期较新就认为内容更可信，也不能凭来源数量投票。</w:t>
      </w:r>
    </w:p>
    <w:p>
      <w:pPr>
        <w:pStyle w:val="BodyText"/>
      </w:pPr>
      <w:r>
        <w:rPr>
          <w:rFonts w:hint="eastAsia"/>
        </w:rPr>
        <w:t xml:space="preserve">证据时效按主张而定。历史事件资料不会只因时间流逝自动失效，当前账户状态则需要较近观察。版本改变使相关证据进入待复核状态，而不是删除历史。若输出前发生并发修改，最终报告只能声明检查时刻的结果，或者先冻结被检查对象。没有冻结或一致性机制，就不能保证报告发出时世界保持不变。</w:t>
      </w:r>
    </w:p>
    <w:p>
      <w:pPr>
        <w:pStyle w:val="BodyText"/>
      </w:pPr>
      <w:r>
        <w:rPr>
          <w:rFonts w:hint="eastAsia"/>
        </w:rPr>
        <w:t xml:space="preserve">不通过准入的主张可选择补查、缩小范围、明确标注推断或暂不判断。缩小范围必须同步说明尚未完成的义务。原要求导出全部订单时，不能只报告“文件已生成”并省略完整性未核对。补查次数受同一资源预算约束，预算耗尽时如实返回未确认项。</w:t>
      </w:r>
    </w:p>
    <w:bookmarkEnd w:id="32"/>
    <w:bookmarkStart w:id="33" w:name="置信度与最终报告"/>
    <w:p>
      <w:pPr>
        <w:pStyle w:val="Heading3"/>
      </w:pPr>
      <w:r>
        <w:t xml:space="preserve">4.5 </w:t>
      </w:r>
      <w:r>
        <w:rPr>
          <w:rFonts w:hint="eastAsia"/>
        </w:rPr>
        <w:t xml:space="preserve">置信度与最终报告</w:t>
      </w:r>
    </w:p>
    <w:p>
      <w:pPr>
        <w:pStyle w:val="FirstParagraph"/>
      </w:pPr>
      <w:r>
        <w:rPr>
          <w:rFonts w:hint="eastAsia"/>
        </w:rPr>
        <w:t xml:space="preserve">置信度与证据状态分开。证据状态说明缺什么，置信度说明在特定任务分布上预计判断有多可靠。没有独立校准集时，只使用“已按指定检查确认”“存在冲突”“证据不足”等类别，不生成看似精确的概率。若输出概率，应在独立校准集上确定映射，随后在测试集报告校准误差，不能用测试标签反调阈值。</w:t>
      </w:r>
    </w:p>
    <w:p>
      <w:pPr>
        <w:pStyle w:val="BodyText"/>
      </w:pPr>
      <w:r>
        <w:rPr>
          <w:rFonts w:hint="eastAsia"/>
        </w:rPr>
        <w:t xml:space="preserve">报告由经过准入的主张和显式未解决项共同构成。最后再检查自然语言是否扩大范围、删除时刻或把局部成功合并成全局完成。该检查同样可能失败，所以保留结构化记录供外部审计。用户可先看到简短结论，需要时展开对应证据，无须阅读整份执行日志。</w:t>
      </w:r>
    </w:p>
    <w:bookmarkEnd w:id="33"/>
    <w:bookmarkEnd w:id="34"/>
    <w:bookmarkStart w:id="38" w:name="条件性性质与反例"/>
    <w:p>
      <w:pPr>
        <w:pStyle w:val="Heading2"/>
      </w:pPr>
      <w:r>
        <w:t xml:space="preserve">5 </w:t>
      </w:r>
      <w:r>
        <w:rPr>
          <w:rFonts w:hint="eastAsia"/>
        </w:rPr>
        <w:t xml:space="preserve">条件性性质与反例</w:t>
      </w:r>
    </w:p>
    <w:bookmarkStart w:id="35" w:name="可追溯性质"/>
    <w:p>
      <w:pPr>
        <w:pStyle w:val="Heading3"/>
      </w:pPr>
      <w:r>
        <w:t xml:space="preserve">5.1 </w:t>
      </w:r>
      <w:r>
        <w:rPr>
          <w:rFonts w:hint="eastAsia"/>
        </w:rPr>
        <w:t xml:space="preserve">可追溯性质</w:t>
      </w:r>
    </w:p>
    <w:p>
      <w:pPr>
        <w:pStyle w:val="FirstParagraph"/>
      </w:pPr>
      <w:r>
        <w:rPr>
          <w:rFonts w:hint="eastAsia"/>
        </w:rPr>
        <w:t xml:space="preserve">假定每条发布主张都必须经过结构检查，证据标识唯一，存储和访问在审计时可用，且报告生成后没有未经记录的改写。则每条已发布断言都能定位到至少一条保留证据和当时使用的核查规则。依据是准入要求</w:t>
      </w:r>
      <w:r>
        <w:t xml:space="preserve"> </w:t>
      </w:r>
      <m:oMath>
        <m:sSub>
          <m:e>
            <m:r>
              <m:t>L</m:t>
            </m:r>
          </m:e>
          <m:sub>
            <m:r>
              <m:t>i</m:t>
            </m:r>
          </m:sub>
        </m:sSub>
      </m:oMath>
      <w:r>
        <w:t xml:space="preserve"> </w:t>
      </w:r>
      <w:r>
        <w:rPr>
          <w:rFonts w:hint="eastAsia"/>
        </w:rPr>
        <w:t xml:space="preserve">为真，发布程序又保存了对应关联。这是一条关于记录可追溯的程序性质，不保证证据相关、内容真实或主张分解正确。</w:t>
      </w:r>
    </w:p>
    <w:bookmarkEnd w:id="35"/>
    <w:bookmarkStart w:id="36" w:name="完成声明约束"/>
    <w:p>
      <w:pPr>
        <w:pStyle w:val="Heading3"/>
      </w:pPr>
      <w:r>
        <w:t xml:space="preserve">5.2 </w:t>
      </w:r>
      <w:r>
        <w:rPr>
          <w:rFonts w:hint="eastAsia"/>
        </w:rPr>
        <w:t xml:space="preserve">完成声明约束</w:t>
      </w:r>
    </w:p>
    <w:p>
      <w:pPr>
        <w:pStyle w:val="FirstParagraph"/>
      </w:pPr>
      <w:r>
        <w:rPr>
          <w:rFonts w:hint="eastAsia"/>
        </w:rPr>
        <w:t xml:space="preserve">设事前固定的必要验收集合为</w:t>
      </w:r>
      <w:r>
        <w:t xml:space="preserve"> </w:t>
      </w:r>
      <m:oMath>
        <m:r>
          <m:t>A</m:t>
        </m:r>
        <m:r>
          <m:rPr>
            <m:sty m:val="p"/>
          </m:rPr>
          <m:t>=</m:t>
        </m:r>
        <m:r>
          <m:rPr>
            <m:sty m:val="p"/>
          </m:rPr>
          <m:t>{</m:t>
        </m:r>
        <m:sSub>
          <m:e>
            <m:r>
              <m:t>a</m:t>
            </m:r>
          </m:e>
          <m:sub>
            <m:r>
              <m:t>1</m:t>
            </m:r>
          </m:sub>
        </m:sSub>
        <m:r>
          <m:rPr>
            <m:sty m:val="p"/>
          </m:rPr>
          <m:t>,</m:t>
        </m:r>
        <m:r>
          <m:rPr>
            <m:sty m:val="p"/>
          </m:rPr>
          <m:t>…</m:t>
        </m:r>
        <m:r>
          <m:rPr>
            <m:sty m:val="p"/>
          </m:rPr>
          <m:t>,</m:t>
        </m:r>
        <m:sSub>
          <m:e>
            <m:r>
              <m:t>a</m:t>
            </m:r>
          </m:e>
          <m:sub>
            <m:r>
              <m:t>m</m:t>
            </m:r>
          </m:sub>
        </m:sSub>
        <m:r>
          <m:rPr>
            <m:sty m:val="p"/>
          </m:rPr>
          <m:t>}</m:t>
        </m:r>
      </m:oMath>
      <w:r>
        <w:rPr>
          <w:rFonts w:hint="eastAsia"/>
        </w:rPr>
        <w:t xml:space="preserve">，每项检查返回通过、失败或未知。规定整体完成仅在所有检查通过时发布。在验收枚举完整、检查结果可靠、对象版本一致且所有发布路径执行此规则的前提下，不会把“已知失败或未知”的验收项对应任务宣布为整体完成。</w:t>
      </w:r>
    </w:p>
    <w:p>
      <w:pPr>
        <w:pStyle w:val="BodyText"/>
      </w:pPr>
      <w:r>
        <w:rPr>
          <w:rFonts w:hint="eastAsia"/>
        </w:rPr>
        <w:t xml:space="preserve">这不等于软件满足全部现实需求。若需求只检查文件存在而漏掉行数，全部检查通过仍可能业务失败。该反例表明，方法效果依赖验收定义质量；因此必须把验收遗漏纳入实验，而不能用系统自己定义的清单作为唯一金标准。</w:t>
      </w:r>
    </w:p>
    <w:bookmarkEnd w:id="36"/>
    <w:bookmarkStart w:id="37" w:name="无法由记录恢复的真相"/>
    <w:p>
      <w:pPr>
        <w:pStyle w:val="Heading3"/>
      </w:pPr>
      <w:r>
        <w:t xml:space="preserve">5.3 </w:t>
      </w:r>
      <w:r>
        <w:rPr>
          <w:rFonts w:hint="eastAsia"/>
        </w:rPr>
        <w:t xml:space="preserve">无法由记录恢复的真相</w:t>
      </w:r>
    </w:p>
    <w:p>
      <w:pPr>
        <w:pStyle w:val="FirstParagraph"/>
      </w:pPr>
      <w:r>
        <w:rPr>
          <w:rFonts w:hint="eastAsia"/>
        </w:rPr>
        <w:t xml:space="preserve">构造两个执行世界：一个后端真实写入成功，另一个后端未写入却返回同样的成功消息。若系统只保留相同返回字符串，则任何只读该字符串的报告器都无法区分两个世界。加入哈希或对该字符串签名仍不会增加关于业务状态的信息。这与主张相对证据充分性的研究相联系[8,9]，说明决定性观察缺失时必须补采或保留不确定。</w:t>
      </w:r>
    </w:p>
    <w:p>
      <w:pPr>
        <w:pStyle w:val="BodyText"/>
      </w:pPr>
      <w:r>
        <w:rPr>
          <w:rFonts w:hint="eastAsia"/>
        </w:rPr>
        <w:t xml:space="preserve">类似地，三个模型复述同一错误网页不等于三份独立证据。方法能展示共享来源，却不能凭展示自动修复其真实性。对这些边界的处理，是如实报告限制并测量失败率。</w:t>
      </w:r>
    </w:p>
    <w:bookmarkEnd w:id="37"/>
    <w:bookmarkEnd w:id="38"/>
    <w:bookmarkStart w:id="44" w:name="实验设计"/>
    <w:p>
      <w:pPr>
        <w:pStyle w:val="Heading2"/>
      </w:pPr>
      <w:r>
        <w:t xml:space="preserve">6 </w:t>
      </w:r>
      <w:r>
        <w:rPr>
          <w:rFonts w:hint="eastAsia"/>
        </w:rPr>
        <w:t xml:space="preserve">实验设计</w:t>
      </w:r>
    </w:p>
    <w:bookmarkStart w:id="39" w:name="两层研究与任务构成"/>
    <w:p>
      <w:pPr>
        <w:pStyle w:val="Heading3"/>
      </w:pPr>
      <w:r>
        <w:t xml:space="preserve">6.1 </w:t>
      </w:r>
      <w:r>
        <w:rPr>
          <w:rFonts w:hint="eastAsia"/>
        </w:rPr>
        <w:t xml:space="preserve">两层研究与任务构成</w:t>
      </w:r>
    </w:p>
    <w:p>
      <w:pPr>
        <w:pStyle w:val="FirstParagraph"/>
      </w:pPr>
      <w:r>
        <w:rPr>
          <w:rFonts w:hint="eastAsia"/>
        </w:rPr>
        <w:t xml:space="preserve">第一层固定执行轨迹，将同一份工具记录提供给各报告方法，以分离报告机制和前序执行差异。第二层从相同初始环境开展完整任务，允许方法补查，观察额外调用对正确性和成本的影响。第一层可以回答“同样观察下怎样报告”，第二层才涉及系统整体收益。</w:t>
      </w:r>
    </w:p>
    <w:p>
      <w:pPr>
        <w:pStyle w:val="BodyText"/>
      </w:pPr>
      <w:r>
        <w:rPr>
          <w:rFonts w:hint="eastAsia"/>
        </w:rPr>
        <w:t xml:space="preserve">拟设四类任务：资料综合、文件加工、业务状态查询、执行后验收。每类包含正常证据、证据缺失或无关、冲突或过期、对抗性伪证据四种条件。拟先以</w:t>
      </w:r>
      <w:r>
        <w:t xml:space="preserve"> 24 </w:t>
      </w:r>
      <w:r>
        <w:rPr>
          <w:rFonts w:hint="eastAsia"/>
        </w:rPr>
        <w:t xml:space="preserve">个开发任务检验工具和标注规则，再冻结至少</w:t>
      </w:r>
      <w:r>
        <w:t xml:space="preserve"> 160 </w:t>
      </w:r>
      <w:r>
        <w:rPr>
          <w:rFonts w:hint="eastAsia"/>
        </w:rPr>
        <w:t xml:space="preserve">个正式任务，每类</w:t>
      </w:r>
      <w:r>
        <w:t xml:space="preserve"> 40 </w:t>
      </w:r>
      <w:r>
        <w:rPr>
          <w:rFonts w:hint="eastAsia"/>
        </w:rPr>
        <w:t xml:space="preserve">个，每个任务在各条件和方法下使用三次独立随机运行。该规模是资源估算，不是检验效能已充分的保证；最终数量在开发阶段依据任务级方差和最小实际重要差异确定，之后登记并锁定。</w:t>
      </w:r>
    </w:p>
    <w:p>
      <w:pPr>
        <w:pStyle w:val="BodyText"/>
      </w:pPr>
      <w:r>
        <w:rPr>
          <w:rFonts w:hint="eastAsia"/>
        </w:rPr>
        <w:t xml:space="preserve">同一原始任务衍生的多个变体归为同一家族，开发与测试按家族分离。工具环境可复位，使用虚构业务数据；公开语料只在许可范围内复用。改造</w:t>
      </w:r>
      <w:r>
        <w:t xml:space="preserve"> ALCE </w:t>
      </w:r>
      <w:r>
        <w:rPr>
          <w:rFonts w:hint="eastAsia"/>
        </w:rPr>
        <w:t xml:space="preserve">或</w:t>
      </w:r>
      <w:r>
        <w:t xml:space="preserve"> AgentDojo </w:t>
      </w:r>
      <w:r>
        <w:rPr>
          <w:rFonts w:hint="eastAsia"/>
        </w:rPr>
        <w:t xml:space="preserve">任务时记录新增要求，不将改造分数称作原基准官方成绩。</w:t>
      </w:r>
    </w:p>
    <w:bookmarkEnd w:id="39"/>
    <w:bookmarkStart w:id="40" w:name="对照与预算公平"/>
    <w:p>
      <w:pPr>
        <w:pStyle w:val="Heading3"/>
      </w:pPr>
      <w:r>
        <w:t xml:space="preserve">6.2 </w:t>
      </w:r>
      <w:r>
        <w:rPr>
          <w:rFonts w:hint="eastAsia"/>
        </w:rPr>
        <w:t xml:space="preserve">对照与预算公平</w:t>
      </w:r>
    </w:p>
    <w:p>
      <w:pPr>
        <w:pStyle w:val="FirstParagraph"/>
      </w:pPr>
      <w:r>
        <w:rPr>
          <w:rFonts w:hint="eastAsia"/>
        </w:rPr>
        <w:t xml:space="preserve">主要对照为：强检索引用系统，允许重新检索及证据不足回答；同一系统加引用修正，参考</w:t>
      </w:r>
      <w:r>
        <w:t xml:space="preserve"> CiteFix </w:t>
      </w:r>
      <w:r>
        <w:rPr>
          <w:rFonts w:hint="eastAsia"/>
        </w:rPr>
        <w:t xml:space="preserve">的问题设置；结构化工具报告系统，记录请求、返回和对象但不进行完整主张关联；本文完整方法。另设最近邻适配组，将</w:t>
      </w:r>
      <w:r>
        <w:t xml:space="preserve"> ClaimReceipt </w:t>
      </w:r>
      <w:r>
        <w:rPr>
          <w:rFonts w:hint="eastAsia"/>
        </w:rPr>
        <w:t xml:space="preserve">式主张所需证据和覆盖承诺移植到任务报告。若不能获得其实现或完成等价适配，明确报告缺失，并收窄比较结论。</w:t>
      </w:r>
    </w:p>
    <w:p>
      <w:pPr>
        <w:pStyle w:val="BodyText"/>
      </w:pPr>
      <w:r>
        <w:rPr>
          <w:rFonts w:hint="eastAsia"/>
        </w:rPr>
        <w:t xml:space="preserve">各组使用同一基础模型、检索集合、工具权限和任务信息。固定轨迹阶段统一输入，完整执行阶段统一模型调用上限、输入输出总量上限、工具调用上限和超时规则。额外语义核对和失败重试全部计费。另给强基线相同附加预算用于重复检索与检查，排除“多调用所以更好”。难以同时严格匹配所有资源时分别呈现等调用上限与等费用上限实验，并绘制成本与正确性关系，不把其中一种匹配冒充全面等价。</w:t>
      </w:r>
    </w:p>
    <w:bookmarkEnd w:id="40"/>
    <w:bookmarkStart w:id="41" w:name="主要指标与全拒答控制"/>
    <w:p>
      <w:pPr>
        <w:pStyle w:val="Heading3"/>
      </w:pPr>
      <w:r>
        <w:t xml:space="preserve">6.3 </w:t>
      </w:r>
      <w:r>
        <w:rPr>
          <w:rFonts w:hint="eastAsia"/>
        </w:rPr>
        <w:t xml:space="preserve">主要指标与全拒答控制</w:t>
      </w:r>
    </w:p>
    <w:p>
      <w:pPr>
        <w:pStyle w:val="FirstParagraph"/>
      </w:pPr>
      <w:r>
        <w:rPr>
          <w:rFonts w:hint="eastAsia"/>
        </w:rPr>
        <w:t xml:space="preserve">在外部预标注的必要信息集合</w:t>
      </w:r>
      <w:r>
        <w:t xml:space="preserve"> </w:t>
      </w:r>
      <m:oMath>
        <m:r>
          <m:t>U</m:t>
        </m:r>
      </m:oMath>
      <w:r>
        <w:t xml:space="preserve"> </w:t>
      </w:r>
      <w:r>
        <w:rPr>
          <w:rFonts w:hint="eastAsia"/>
        </w:rPr>
        <w:t xml:space="preserve">上，事前区分可回答义务</w:t>
      </w:r>
      <w:r>
        <w:t xml:space="preserve"> </w:t>
      </w:r>
      <m:oMath>
        <m:sSub>
          <m:e>
            <m:r>
              <m:t>U</m:t>
            </m:r>
          </m:e>
          <m:sub>
            <m:r>
              <m:t>a</m:t>
            </m:r>
          </m:sub>
        </m:sSub>
      </m:oMath>
      <w:r>
        <w:t xml:space="preserve"> </w:t>
      </w:r>
      <w:r>
        <w:rPr>
          <w:rFonts w:hint="eastAsia"/>
        </w:rPr>
        <w:t xml:space="preserve">与必须说明不可判定原因的义务</w:t>
      </w:r>
      <w:r>
        <w:t xml:space="preserve"> </w:t>
      </w:r>
      <m:oMath>
        <m:sSub>
          <m:e>
            <m:r>
              <m:t>U</m:t>
            </m:r>
          </m:e>
          <m:sub>
            <m:r>
              <m:t>u</m:t>
            </m:r>
          </m:sub>
        </m:sSub>
      </m:oMath>
      <w:r>
        <w:rPr>
          <w:rFonts w:hint="eastAsia"/>
        </w:rPr>
        <w:t xml:space="preserve">，两者互不重叠。定义有效覆盖率</w:t>
      </w:r>
    </w:p>
    <w:p>
      <w:pPr>
        <w:pStyle w:val="BodyText"/>
      </w:pPr>
      <m:oMathPara>
        <m:oMathParaPr>
          <m:jc m:val="center"/>
        </m:oMathParaPr>
        <m:oMath>
          <m:r>
            <m:t>Q</m:t>
          </m:r>
          <m:r>
            <m:rPr>
              <m:sty m:val="p"/>
            </m:rPr>
            <m:t>=</m:t>
          </m:r>
          <m:f>
            <m:fPr>
              <m:type m:val="bar"/>
            </m:fPr>
            <m:num>
              <m:r>
                <m:rPr>
                  <m:sty m:val="p"/>
                </m:rPr>
                <m:t>|</m:t>
              </m:r>
              <m:r>
                <m:rPr>
                  <m:sty m:val="p"/>
                </m:rPr>
                <m:t>{</m:t>
              </m:r>
              <m:r>
                <m:t>u</m:t>
              </m:r>
              <m:r>
                <m:rPr>
                  <m:sty m:val="p"/>
                </m:rPr>
                <m:t>∈</m:t>
              </m:r>
              <m:sSub>
                <m:e>
                  <m:r>
                    <m:t>U</m:t>
                  </m:r>
                </m:e>
                <m:sub>
                  <m:r>
                    <m:t>a</m:t>
                  </m:r>
                </m:sub>
              </m:sSub>
              <m:r>
                <m:rPr>
                  <m:sty m:val="p"/>
                </m:rPr>
                <m:t>:</m:t>
              </m:r>
              <m:r>
                <m:rPr>
                  <m:nor/>
                  <m:sty m:val="p"/>
                </m:rPr>
                <m:t>报告实质答案且证据支持 </m:t>
              </m:r>
              <m:r>
                <m:t>u</m:t>
              </m:r>
              <m:r>
                <m:rPr>
                  <m:sty m:val="p"/>
                </m:rPr>
                <m:t>}</m:t>
              </m:r>
              <m:r>
                <m:rPr>
                  <m:sty m:val="p"/>
                </m:rPr>
                <m:t>|</m:t>
              </m:r>
              <m:r>
                <m:rPr>
                  <m:sty m:val="p"/>
                </m:rPr>
                <m:t>+</m:t>
              </m:r>
              <m:r>
                <m:rPr>
                  <m:sty m:val="p"/>
                </m:rPr>
                <m:t>|</m:t>
              </m:r>
              <m:r>
                <m:rPr>
                  <m:sty m:val="p"/>
                </m:rPr>
                <m:t>{</m:t>
              </m:r>
              <m:r>
                <m:t>u</m:t>
              </m:r>
              <m:r>
                <m:rPr>
                  <m:sty m:val="p"/>
                </m:rPr>
                <m:t>∈</m:t>
              </m:r>
              <m:sSub>
                <m:e>
                  <m:r>
                    <m:t>U</m:t>
                  </m:r>
                </m:e>
                <m:sub>
                  <m:r>
                    <m:t>u</m:t>
                  </m:r>
                </m:sub>
              </m:sSub>
              <m:r>
                <m:rPr>
                  <m:sty m:val="p"/>
                </m:rPr>
                <m:t>:</m:t>
              </m:r>
              <m:r>
                <m:rPr>
                  <m:nor/>
                  <m:sty m:val="p"/>
                </m:rPr>
                <m:t>准确说明证据缺失、冲突或适用边界 </m:t>
              </m:r>
              <m:r>
                <m:t>u</m:t>
              </m:r>
              <m:r>
                <m:rPr>
                  <m:sty m:val="p"/>
                </m:rPr>
                <m:t>}</m:t>
              </m:r>
              <m:r>
                <m:rPr>
                  <m:sty m:val="p"/>
                </m:rPr>
                <m:t>|</m:t>
              </m:r>
            </m:num>
            <m:den>
              <m:r>
                <m:rPr>
                  <m:sty m:val="p"/>
                </m:rPr>
                <m:t>|</m:t>
              </m:r>
              <m:sSub>
                <m:e>
                  <m:r>
                    <m:t>U</m:t>
                  </m:r>
                </m:e>
                <m:sub>
                  <m:r>
                    <m:t>a</m:t>
                  </m:r>
                </m:sub>
              </m:sSub>
              <m:r>
                <m:rPr>
                  <m:sty m:val="p"/>
                </m:rPr>
                <m:t>|</m:t>
              </m:r>
              <m:r>
                <m:rPr>
                  <m:sty m:val="p"/>
                </m:rPr>
                <m:t>+</m:t>
              </m:r>
              <m:r>
                <m:rPr>
                  <m:sty m:val="p"/>
                </m:rPr>
                <m:t>|</m:t>
              </m:r>
              <m:sSub>
                <m:e>
                  <m:r>
                    <m:t>U</m:t>
                  </m:r>
                </m:e>
                <m:sub>
                  <m:r>
                    <m:t>u</m:t>
                  </m:r>
                </m:sub>
              </m:sSub>
              <m:r>
                <m:rPr>
                  <m:sty m:val="p"/>
                </m:rPr>
                <m:t>|</m:t>
              </m:r>
            </m:den>
          </m:f>
          <m:r>
            <m:rPr>
              <m:sty m:val="p"/>
            </m:rPr>
            <m:t>.</m:t>
          </m:r>
        </m:oMath>
      </m:oMathPara>
    </w:p>
    <w:p>
      <w:pPr>
        <w:pStyle w:val="FirstParagraph"/>
      </w:pPr>
      <w:r>
        <w:rPr>
          <w:rFonts w:hint="eastAsia"/>
        </w:rPr>
        <w:t xml:space="preserve">重复主张仅算一次。对可回答义务，泛化拒答和只说“证据不足”不能进入分子；对确实不可判定的义务，只有具体且正确地说明缺失、冲突或边界才算覆盖。分别报告两类义务的覆盖率，避免不可判定项比例掩盖回答不足。另定义断言精度为输出可核验断言中事实正确且适用范围正确的比例。零断言时精度记为不适用，不能记满分。二者联合报告，并在相同覆盖水平比较错误率。所有任务上的错误断言数、正确拒答率和不必要拒答率也单独公开。</w:t>
      </w:r>
    </w:p>
    <w:p>
      <w:pPr>
        <w:pStyle w:val="BodyText"/>
      </w:pPr>
      <w:r>
        <w:rPr>
          <w:rFonts w:hint="eastAsia"/>
        </w:rPr>
        <w:t xml:space="preserve">错误完成声明率以全部有完成判断机会的任务为固定分母，统计实际未通过业务金标准却报告整体完成的比例；另报告“宣布完成”中的错误比例。任务成功率由外部验收确定，与系统是否宣称成功分开。主张拥有引用的比例仅作为过程指标，不代表事实精度。</w:t>
      </w:r>
    </w:p>
    <w:p>
      <w:pPr>
        <w:pStyle w:val="BodyText"/>
      </w:pPr>
      <w:r>
        <w:rPr>
          <w:rFonts w:hint="eastAsia"/>
        </w:rPr>
        <w:t xml:space="preserve">主要效果判定采用预先登记的联合规则：错误完成声明下降，同时有效覆盖率满足事前确定的非劣界限。界限应由业务容忍度和开发数据确定，不在看到正式结果后调整。全拒答方法的有效覆盖趋于零，因此不能以低误报率单独获胜。</w:t>
      </w:r>
    </w:p>
    <w:bookmarkEnd w:id="41"/>
    <w:bookmarkStart w:id="42" w:name="消融和攻击条件"/>
    <w:p>
      <w:pPr>
        <w:pStyle w:val="Heading3"/>
      </w:pPr>
      <w:r>
        <w:t xml:space="preserve">6.4 </w:t>
      </w:r>
      <w:r>
        <w:rPr>
          <w:rFonts w:hint="eastAsia"/>
        </w:rPr>
        <w:t xml:space="preserve">消融和攻击条件</w:t>
      </w:r>
    </w:p>
    <w:p>
      <w:pPr>
        <w:pStyle w:val="FirstParagraph"/>
      </w:pPr>
      <w:r>
        <w:rPr>
          <w:rFonts w:hint="eastAsia"/>
        </w:rPr>
        <w:t xml:space="preserve">逐项移除片段定位、版本关联、来源独立性记录、任务义务清单和外部验收检查，保持剩余提示长度、语义核查预算尽可能可比。删除字段同时删除整轮模型调用会混淆字段收益与计算收益，因此增加等调用的无该字段组。</w:t>
      </w:r>
    </w:p>
    <w:p>
      <w:pPr>
        <w:pStyle w:val="BodyText"/>
      </w:pPr>
      <w:r>
        <w:rPr>
          <w:rFonts w:hint="eastAsia"/>
        </w:rPr>
        <w:t xml:space="preserve">攻击包含真实但无关的文档、伪造出处、同源多次转载、选择性截取反例、旧版本测试成功日志，以及工具返回成功但目标对象错误、数据不全或异步任务未完成。提示注入内容只存在于不可信数据字段。所有攻击有合法任务配对，并记录攻击者能修改的范围。额外建立采集端被篡改的越界组，用于展示保障前提失效时的表现，不把这类实验包装成方法能够解决的安全问题。</w:t>
      </w:r>
    </w:p>
    <w:bookmarkEnd w:id="42"/>
    <w:bookmarkStart w:id="43" w:name="独立金标准与统计"/>
    <w:p>
      <w:pPr>
        <w:pStyle w:val="Heading3"/>
      </w:pPr>
      <w:r>
        <w:t xml:space="preserve">6.5 </w:t>
      </w:r>
      <w:r>
        <w:rPr>
          <w:rFonts w:hint="eastAsia"/>
        </w:rPr>
        <w:t xml:space="preserve">独立金标准与统计</w:t>
      </w:r>
    </w:p>
    <w:p>
      <w:pPr>
        <w:pStyle w:val="FirstParagraph"/>
      </w:pPr>
      <w:r>
        <w:rPr>
          <w:rFonts w:hint="eastAsia"/>
        </w:rPr>
        <w:t xml:space="preserve">事实金标准由与报告生成分离的来源核查流程产生；业务完成金标准来自隔离环境真实状态和预先冻结的验收器。两名标注者不知道方法名称，独立判断范围、支持、冲突和是否完成，分歧交第三人裁定。耗时评审与金标准标注者分开；每名耗时评审对同一任务家族只看一种方法版本，方法与任务在评审之间配平并随机安排展示顺序，避免看过同题答案带来的学习效应。保留原始耗时、正确判断率与请求补充材料次数，分析同时考虑评审与任务差异。研究作者单人重复阅读不能替代这种独立盲评。</w:t>
      </w:r>
    </w:p>
    <w:p>
      <w:pPr>
        <w:pStyle w:val="BodyText"/>
      </w:pPr>
      <w:r>
        <w:rPr>
          <w:rFonts w:hint="eastAsia"/>
        </w:rPr>
        <w:t xml:space="preserve">置信区间按任务家族聚类重采样，保留同一家族的不同条件和随机运行，避免把大量原子主张当成独立样本。主要终点预先登记，次要指标与消融采用多重比较控制，并同时报告效应量和区间。任务家族数量不足以支持稳定区间时标记探索性，不以大量重复运行掩盖样本依赖。全部失败、超时和无法评分案例进入登记台账，只有事前定义的基础设施故障可按统一规则重跑。</w:t>
      </w:r>
    </w:p>
    <w:bookmarkEnd w:id="43"/>
    <w:bookmarkEnd w:id="44"/>
    <w:bookmarkStart w:id="45" w:name="拟定分析与结果边界"/>
    <w:p>
      <w:pPr>
        <w:pStyle w:val="Heading2"/>
      </w:pPr>
      <w:r>
        <w:t xml:space="preserve">7 </w:t>
      </w:r>
      <w:r>
        <w:rPr>
          <w:rFonts w:hint="eastAsia"/>
        </w:rPr>
        <w:t xml:space="preserve">拟定分析与结果边界</w:t>
      </w:r>
    </w:p>
    <w:p>
      <w:pPr>
        <w:pStyle w:val="FirstParagraph"/>
      </w:pPr>
      <w:r>
        <w:rPr>
          <w:rFonts w:hint="eastAsia"/>
        </w:rPr>
        <w:t xml:space="preserve">本稿没有实验结果。后续首先展示各组任务数、失败数、有效覆盖、断言精度、错误完成声明和成本，再按任务类型、证据条件与版本变化分层。正向结论必须同时回答：收益是否超过额外调用能解释的部分，是否依赖特定模型，以及审计时间下降是否抵消证据整理成本。</w:t>
      </w:r>
    </w:p>
    <w:p>
      <w:pPr>
        <w:pStyle w:val="BodyText"/>
      </w:pPr>
      <w:r>
        <w:rPr>
          <w:rFonts w:hint="eastAsia"/>
        </w:rPr>
        <w:t xml:space="preserve">若方法仅在旧日志条件下有效，应将结论限定为版本一致性检查；若强引用修正组已达到相同水平，应承认完整关联机制的必要性不足。若去除义务清单后精度提高但覆盖下降，则支持评测需联合报告两者，而不能证明其他组件有效。错误分类保留反例原文、关联证据和金标准理由，使其他研究者能够争论判断本身。</w:t>
      </w:r>
    </w:p>
    <w:p>
      <w:pPr>
        <w:pStyle w:val="BodyText"/>
      </w:pPr>
      <w:r>
        <w:rPr>
          <w:rFonts w:hint="eastAsia"/>
        </w:rPr>
        <w:t xml:space="preserve">从使用者角度，理想输出是知道哪些部分可以依赖、哪些仍需核查。为此，审计研究还应测量读者是否把“部分确认”误解成“全部完成”。即便结构记录正确，摘要语言引起系统性误解，方法也没有达到对外交付的目标。</w:t>
      </w:r>
    </w:p>
    <w:bookmarkEnd w:id="45"/>
    <w:bookmarkStart w:id="46" w:name="局限与结论"/>
    <w:p>
      <w:pPr>
        <w:pStyle w:val="Heading2"/>
      </w:pPr>
      <w:r>
        <w:t xml:space="preserve">8 </w:t>
      </w:r>
      <w:r>
        <w:rPr>
          <w:rFonts w:hint="eastAsia"/>
        </w:rPr>
        <w:t xml:space="preserve">局限与结论</w:t>
      </w:r>
    </w:p>
    <w:p>
      <w:pPr>
        <w:pStyle w:val="FirstParagraph"/>
      </w:pPr>
      <w:r>
        <w:rPr>
          <w:rFonts w:hint="eastAsia"/>
        </w:rPr>
        <w:t xml:space="preserve">主张拆分和支持判断都可能出错；长报告中的范围、否定和数量词尤其需要独立检查。来源自身错误、环境观测不完整以及执行后状态变化无法仅靠记录解决。保存证据还会增加隐私、访问管理与存储负担。本文不要求公开敏感原文，证据不可共享时应同时降低可复核性的主张。</w:t>
      </w:r>
    </w:p>
    <w:p>
      <w:pPr>
        <w:pStyle w:val="BodyText"/>
      </w:pPr>
      <w:r>
        <w:rPr>
          <w:rFonts w:hint="eastAsia"/>
        </w:rPr>
        <w:t xml:space="preserve">研究任务的构造可能偏向本文设定，人工金标准也有争议。近期文献与本文存在直接交集，独立贡献必须通过最接近方法的适配比较确认。当前稿件不满足已经完成实证研究的投稿表述要求；“已提出协议”不能写成“已验证方法”。</w:t>
      </w:r>
    </w:p>
    <w:p>
      <w:pPr>
        <w:pStyle w:val="BodyText"/>
      </w:pPr>
      <w:r>
        <w:rPr>
          <w:rFonts w:hint="eastAsia"/>
        </w:rPr>
        <w:t xml:space="preserve">本文将工具型智能体的最终结论拆为可审计主张，并将来源、版本、支持关系和完成验收分别保存。所给性质只在明示前提下约束报告程序，不能保证开放世界真实性。拟定评测以正确性、必要信息覆盖、任务完成和成本共同判断其价值。下一步应实现最小系统、冻结独立金标准并开展受控比较，随后根据结果决定方法保留范围及论文贡献表述。</w:t>
      </w:r>
    </w:p>
    <w:bookmarkEnd w:id="46"/>
    <w:bookmarkStart w:id="47" w:name="研究声明"/>
    <w:p>
      <w:pPr>
        <w:pStyle w:val="Heading2"/>
      </w:pPr>
      <w:r>
        <w:rPr>
          <w:rFonts w:hint="eastAsia"/>
        </w:rPr>
        <w:t xml:space="preserve">研究声明</w:t>
      </w:r>
    </w:p>
    <w:p>
      <w:pPr>
        <w:pStyle w:val="FirstParagraph"/>
      </w:pPr>
      <w:r>
        <w:rPr>
          <w:rFonts w:hint="eastAsia"/>
          <w:b/>
          <w:bCs/>
        </w:rPr>
        <w:t xml:space="preserve">数据可用性声明：</w:t>
      </w:r>
      <w:r>
        <w:t xml:space="preserve"> </w:t>
      </w:r>
      <w:r>
        <w:rPr>
          <w:rFonts w:hint="eastAsia"/>
        </w:rPr>
        <w:t xml:space="preserve">当前无本研究实验数据、标注数据或性能结果。文献链接公开可访问；未来数据集、代码和日志在完成授权与隐私审查后决定发布范围，不声称已经开源。</w:t>
      </w:r>
    </w:p>
    <w:p>
      <w:pPr>
        <w:pStyle w:val="BodyText"/>
      </w:pPr>
      <w:r>
        <w:rPr>
          <w:rFonts w:hint="eastAsia"/>
          <w:b/>
          <w:bCs/>
        </w:rPr>
        <w:t xml:space="preserve">伦理声明：</w:t>
      </w:r>
      <w:r>
        <w:t xml:space="preserve"> </w:t>
      </w:r>
      <w:r>
        <w:rPr>
          <w:rFonts w:hint="eastAsia"/>
        </w:rPr>
        <w:t xml:space="preserve">拟实验使用公开许可资料和隔离环境中的虚构数据，不执行真实交易，不向真实用户发送消息。尚未实施人工标注招募；如后续涉及参与者研究，将按所在机构及目标发表渠道要求确定知情同意、补偿和伦理审查安排。</w:t>
      </w:r>
    </w:p>
    <w:p>
      <w:pPr>
        <w:pStyle w:val="BodyText"/>
      </w:pPr>
      <w:r>
        <w:rPr>
          <w:rFonts w:hint="eastAsia"/>
          <w:b/>
          <w:bCs/>
        </w:rPr>
        <w:t xml:space="preserve">作者贡献声明（CRediT，待作者确认）：</w:t>
      </w:r>
      <w:r>
        <w:t xml:space="preserve"> </w:t>
      </w:r>
      <w:r>
        <w:rPr>
          <w:rFonts w:hint="eastAsia"/>
        </w:rPr>
        <w:t xml:space="preserve">袁成路拟负责概念形成、方法设计、研究组织和稿件审订。实验实施、软件实现和数据分析尚未完成，不列作已完成贡献。</w:t>
      </w:r>
    </w:p>
    <w:p>
      <w:pPr>
        <w:pStyle w:val="BodyText"/>
      </w:pPr>
      <w:r>
        <w:rPr>
          <w:rFonts w:hint="eastAsia"/>
          <w:b/>
          <w:bCs/>
        </w:rPr>
        <w:t xml:space="preserve">利益冲突声明：</w:t>
      </w:r>
      <w:r>
        <w:t xml:space="preserve"> </w:t>
      </w:r>
      <w:r>
        <w:rPr>
          <w:rFonts w:hint="eastAsia"/>
        </w:rPr>
        <w:t xml:space="preserve">尚未收集作者正式利益冲突申报；投稿前须由作者确认并补充，不能据当前材料宣称不存在利益冲突。</w:t>
      </w:r>
    </w:p>
    <w:p>
      <w:pPr>
        <w:pStyle w:val="BodyText"/>
      </w:pPr>
      <w:r>
        <w:rPr>
          <w:rFonts w:hint="eastAsia"/>
          <w:b/>
          <w:bCs/>
        </w:rPr>
        <w:t xml:space="preserve">经费声明：</w:t>
      </w:r>
      <w:r>
        <w:t xml:space="preserve"> </w:t>
      </w:r>
      <w:r>
        <w:rPr>
          <w:rFonts w:hint="eastAsia"/>
        </w:rPr>
        <w:t xml:space="preserve">研究路线拟由作者个人承担费用；当前未见可核实的基金或单位科研资助信息，最终声明待作者确认，不虚构基金编号或机构支持。</w:t>
      </w:r>
    </w:p>
    <w:p>
      <w:pPr>
        <w:pStyle w:val="BodyText"/>
      </w:pPr>
      <w:r>
        <w:rPr>
          <w:rFonts w:hint="eastAsia"/>
          <w:b/>
          <w:bCs/>
        </w:rPr>
        <w:t xml:space="preserve">人工智能使用声明：</w:t>
      </w:r>
      <w:r>
        <w:t xml:space="preserve"> </w:t>
      </w:r>
      <w:r>
        <w:rPr>
          <w:rFonts w:hint="eastAsia"/>
        </w:rPr>
        <w:t xml:space="preserve">本稿在人工智能工具辅助下完成文献定向检索、结构设计、初稿写作与一致性自查。作者仍需核验原文、研究设计和最终表述并承担责任。未进行外部同行评审，目标期刊及其披露要求尚未确定。</w:t>
      </w:r>
    </w:p>
    <w:bookmarkEnd w:id="47"/>
    <w:bookmarkStart w:id="61" w:name="参考文献"/>
    <w:p>
      <w:pPr>
        <w:pStyle w:val="Heading2"/>
      </w:pPr>
      <w:r>
        <w:rPr>
          <w:rFonts w:hint="eastAsia"/>
        </w:rPr>
        <w:t xml:space="preserve">参考文献</w:t>
      </w:r>
    </w:p>
    <w:p>
      <w:pPr>
        <w:pStyle w:val="FirstParagraph"/>
      </w:pPr>
      <w:r>
        <w:t xml:space="preserve">[1] Gao, T., Yen, H., Yu, J., &amp; Chen, D. (2023). Enabling Large Language Models to Generate Text with Citations.</w:t>
      </w:r>
      <w:r>
        <w:t xml:space="preserve"> </w:t>
      </w:r>
      <w:r>
        <w:rPr>
          <w:i/>
          <w:iCs/>
        </w:rPr>
        <w:t xml:space="preserve">Proceedings of EMNLP 2023</w:t>
      </w:r>
      <w:r>
        <w:t xml:space="preserve">, 6465–6488. DOI:</w:t>
      </w:r>
      <w:r>
        <w:t xml:space="preserve"> </w:t>
      </w:r>
      <w:hyperlink r:id="rId48">
        <w:r>
          <w:rPr>
            <w:rStyle w:val="Hyperlink"/>
          </w:rPr>
          <w:t xml:space="preserve">10.18653/v1/2023.emnlp-main.398</w:t>
        </w:r>
      </w:hyperlink>
      <w:r>
        <w:t xml:space="preserve">.</w:t>
      </w:r>
    </w:p>
    <w:p>
      <w:pPr>
        <w:pStyle w:val="BodyText"/>
      </w:pPr>
      <w:r>
        <w:t xml:space="preserve">[2] Liu, N., Zhang, T., &amp; Liang, P. (2023). Evaluating Verifiability in Generative Search Engines.</w:t>
      </w:r>
      <w:r>
        <w:t xml:space="preserve"> </w:t>
      </w:r>
      <w:r>
        <w:rPr>
          <w:i/>
          <w:iCs/>
        </w:rPr>
        <w:t xml:space="preserve">Findings of EMNLP 2023</w:t>
      </w:r>
      <w:r>
        <w:t xml:space="preserve">, 7001–7025. DOI:</w:t>
      </w:r>
      <w:r>
        <w:t xml:space="preserve"> </w:t>
      </w:r>
      <w:hyperlink r:id="rId49">
        <w:r>
          <w:rPr>
            <w:rStyle w:val="Hyperlink"/>
          </w:rPr>
          <w:t xml:space="preserve">10.18653/v1/2023.findings-emnlp.467</w:t>
        </w:r>
      </w:hyperlink>
      <w:r>
        <w:t xml:space="preserve">.</w:t>
      </w:r>
    </w:p>
    <w:p>
      <w:pPr>
        <w:pStyle w:val="BodyText"/>
      </w:pPr>
      <w:r>
        <w:t xml:space="preserve">[3] Min, S., Krishna, K., Lyu, X., Lewis, M., Yih, W.-t., Koh, P. W., Iyyer, M., Zettlemoyer, L., &amp; Hajishirzi, H. (2023). FActScore: Fine-grained Atomic Evaluation of Factual Precision in Long Form Text Generation.</w:t>
      </w:r>
      <w:r>
        <w:t xml:space="preserve"> </w:t>
      </w:r>
      <w:r>
        <w:rPr>
          <w:i/>
          <w:iCs/>
        </w:rPr>
        <w:t xml:space="preserve">Proceedings of EMNLP 2023</w:t>
      </w:r>
      <w:r>
        <w:t xml:space="preserve">, 12076–12100. DOI:</w:t>
      </w:r>
      <w:r>
        <w:t xml:space="preserve"> </w:t>
      </w:r>
      <w:hyperlink r:id="rId50">
        <w:r>
          <w:rPr>
            <w:rStyle w:val="Hyperlink"/>
          </w:rPr>
          <w:t xml:space="preserve">10.18653/v1/2023.emnlp-main.741</w:t>
        </w:r>
      </w:hyperlink>
      <w:r>
        <w:t xml:space="preserve">.</w:t>
      </w:r>
    </w:p>
    <w:p>
      <w:pPr>
        <w:pStyle w:val="BodyText"/>
      </w:pPr>
      <w:r>
        <w:t xml:space="preserve">[4] Niu, C., Wu, Y., Zhu, J., Xu, S., Shum, K., Zhong, R., Song, J., &amp; Zhang, T. (2024). RAGTruth: A Hallucination Corpus for Developing Trustworthy Retrieval-Augmented Language Models.</w:t>
      </w:r>
      <w:r>
        <w:t xml:space="preserve"> </w:t>
      </w:r>
      <w:r>
        <w:rPr>
          <w:i/>
          <w:iCs/>
        </w:rPr>
        <w:t xml:space="preserve">Proceedings of ACL 2024, Volume 1</w:t>
      </w:r>
      <w:r>
        <w:t xml:space="preserve">, 10862–10878. DOI:</w:t>
      </w:r>
      <w:r>
        <w:t xml:space="preserve"> </w:t>
      </w:r>
      <w:hyperlink r:id="rId51">
        <w:r>
          <w:rPr>
            <w:rStyle w:val="Hyperlink"/>
          </w:rPr>
          <w:t xml:space="preserve">10.18653/v1/2024.acl-long.585</w:t>
        </w:r>
      </w:hyperlink>
      <w:r>
        <w:t xml:space="preserve">.</w:t>
      </w:r>
    </w:p>
    <w:p>
      <w:pPr>
        <w:pStyle w:val="BodyText"/>
      </w:pPr>
      <w:r>
        <w:t xml:space="preserve">[5] Asai, A., Wu, Z., Wang, Y., Sil, A., &amp; Hajishirzi, H. (2024). Self-RAG: Learning to Retrieve, Generate, and Critique through Self-Reflection.</w:t>
      </w:r>
      <w:r>
        <w:t xml:space="preserve"> </w:t>
      </w:r>
      <w:r>
        <w:rPr>
          <w:i/>
          <w:iCs/>
        </w:rPr>
        <w:t xml:space="preserve">ICLR 2024</w:t>
      </w:r>
      <w:r>
        <w:t xml:space="preserve">.</w:t>
      </w:r>
      <w:r>
        <w:t xml:space="preserve"> </w:t>
      </w:r>
      <w:hyperlink r:id="rId52">
        <w:r>
          <w:rPr>
            <w:rStyle w:val="Hyperlink"/>
            <w:rFonts w:hint="eastAsia"/>
          </w:rPr>
          <w:t xml:space="preserve">正式会议稿</w:t>
        </w:r>
      </w:hyperlink>
      <w:r>
        <w:t xml:space="preserve">. </w:t>
      </w:r>
      <w:r>
        <w:rPr>
          <w:rFonts w:hint="eastAsia"/>
        </w:rPr>
        <w:t xml:space="preserve">预印本</w:t>
      </w:r>
      <w:r>
        <w:t xml:space="preserve"> DOI:</w:t>
      </w:r>
      <w:r>
        <w:t xml:space="preserve"> </w:t>
      </w:r>
      <w:hyperlink r:id="rId53">
        <w:r>
          <w:rPr>
            <w:rStyle w:val="Hyperlink"/>
          </w:rPr>
          <w:t xml:space="preserve">10.48550/arXiv.2310.11511</w:t>
        </w:r>
      </w:hyperlink>
      <w:r>
        <w:t xml:space="preserve">.</w:t>
      </w:r>
    </w:p>
    <w:p>
      <w:pPr>
        <w:pStyle w:val="BodyText"/>
      </w:pPr>
      <w:r>
        <w:t xml:space="preserve">[6] Maheshwari, H., Tenneti, S., &amp; Nakkiran, A. (2025). CiteFix: Enhancing RAG Accuracy Through Post-Processing Citation Correction.</w:t>
      </w:r>
      <w:r>
        <w:t xml:space="preserve"> </w:t>
      </w:r>
      <w:r>
        <w:rPr>
          <w:i/>
          <w:iCs/>
        </w:rPr>
        <w:t xml:space="preserve">arXiv preprint arXiv:2504.15629</w:t>
      </w:r>
      <w:r>
        <w:t xml:space="preserve">, version 2. DOI:</w:t>
      </w:r>
      <w:r>
        <w:t xml:space="preserve"> </w:t>
      </w:r>
      <w:hyperlink r:id="rId54">
        <w:r>
          <w:rPr>
            <w:rStyle w:val="Hyperlink"/>
          </w:rPr>
          <w:t xml:space="preserve">10.48550/arXiv.2504.15629</w:t>
        </w:r>
      </w:hyperlink>
      <w:r>
        <w:t xml:space="preserve">.</w:t>
      </w:r>
    </w:p>
    <w:p>
      <w:pPr>
        <w:pStyle w:val="BodyText"/>
      </w:pPr>
      <w:r>
        <w:t xml:space="preserve">[7] Groth, P., &amp; Moreau, L. (Eds.). (2013). PROV-Overview: An Overview of the PROV Family of Documents.</w:t>
      </w:r>
      <w:r>
        <w:t xml:space="preserve"> </w:t>
      </w:r>
      <w:r>
        <w:rPr>
          <w:i/>
          <w:iCs/>
        </w:rPr>
        <w:t xml:space="preserve">W3C Working Group Note</w:t>
      </w:r>
      <w:r>
        <w:t xml:space="preserve">, 30 April 2013.</w:t>
      </w:r>
      <w:r>
        <w:t xml:space="preserve"> </w:t>
      </w:r>
      <w:hyperlink r:id="rId55">
        <w:r>
          <w:rPr>
            <w:rStyle w:val="Hyperlink"/>
            <w:rFonts w:hint="eastAsia"/>
          </w:rPr>
          <w:t xml:space="preserve">正式规范</w:t>
        </w:r>
      </w:hyperlink>
      <w:r>
        <w:t xml:space="preserve">. </w:t>
      </w:r>
      <w:r>
        <w:rPr>
          <w:rFonts w:hint="eastAsia"/>
        </w:rPr>
        <w:t xml:space="preserve">该规范页面未列</w:t>
      </w:r>
      <w:r>
        <w:t xml:space="preserve"> DOI。</w:t>
      </w:r>
    </w:p>
    <w:p>
      <w:pPr>
        <w:pStyle w:val="BodyText"/>
      </w:pPr>
      <w:r>
        <w:t xml:space="preserve">[8] Zhu, P., &amp; Chang, S. (2026). ClaimReceipt: Verifying Evidence Sufficiency and Coverage in Agent Evaluations.</w:t>
      </w:r>
      <w:r>
        <w:t xml:space="preserve"> </w:t>
      </w:r>
      <w:r>
        <w:rPr>
          <w:i/>
          <w:iCs/>
        </w:rPr>
        <w:t xml:space="preserve">arXiv preprint arXiv:2609.01992</w:t>
      </w:r>
      <w:r>
        <w:t xml:space="preserve">, version 1. DOI:</w:t>
      </w:r>
      <w:r>
        <w:t xml:space="preserve"> </w:t>
      </w:r>
      <w:hyperlink r:id="rId56">
        <w:r>
          <w:rPr>
            <w:rStyle w:val="Hyperlink"/>
          </w:rPr>
          <w:t xml:space="preserve">10.48550/arXiv.2609.01992</w:t>
        </w:r>
      </w:hyperlink>
      <w:r>
        <w:rPr>
          <w:rFonts w:hint="eastAsia"/>
        </w:rPr>
        <w:t xml:space="preserve">（arXiv</w:t>
      </w:r>
      <w:r>
        <w:t xml:space="preserve"> </w:t>
      </w:r>
      <w:r>
        <w:rPr>
          <w:rFonts w:hint="eastAsia"/>
        </w:rPr>
        <w:t xml:space="preserve">页面标注待注册；可用</w:t>
      </w:r>
      <w:hyperlink r:id="rId57">
        <w:r>
          <w:rPr>
            <w:rStyle w:val="Hyperlink"/>
            <w:rFonts w:hint="eastAsia"/>
          </w:rPr>
          <w:t xml:space="preserve">原始页面</w:t>
        </w:r>
      </w:hyperlink>
      <w:r>
        <w:rPr>
          <w:rFonts w:hint="eastAsia"/>
        </w:rPr>
        <w:t xml:space="preserve">访问）.</w:t>
      </w:r>
    </w:p>
    <w:p>
      <w:pPr>
        <w:pStyle w:val="BodyText"/>
      </w:pPr>
      <w:r>
        <w:t xml:space="preserve">[9] Brömme, A. (2026). An Evidence Model for Agentic Processes: Evidence Claims, Trust Assumptions, and Policy Assessment.</w:t>
      </w:r>
      <w:r>
        <w:t xml:space="preserve"> </w:t>
      </w:r>
      <w:r>
        <w:rPr>
          <w:i/>
          <w:iCs/>
        </w:rPr>
        <w:t xml:space="preserve">arXiv preprint arXiv:2609.08481</w:t>
      </w:r>
      <w:r>
        <w:t xml:space="preserve">, version 1. DOI:</w:t>
      </w:r>
      <w:r>
        <w:t xml:space="preserve"> </w:t>
      </w:r>
      <w:hyperlink r:id="rId58">
        <w:r>
          <w:rPr>
            <w:rStyle w:val="Hyperlink"/>
          </w:rPr>
          <w:t xml:space="preserve">10.48550/arXiv.2609.08481</w:t>
        </w:r>
      </w:hyperlink>
      <w:r>
        <w:t xml:space="preserve">.</w:t>
      </w:r>
    </w:p>
    <w:p>
      <w:pPr>
        <w:pStyle w:val="BodyText"/>
      </w:pPr>
      <w:r>
        <w:t xml:space="preserve">[10] Debenedetti, E., Zhang, J., Balunović, M., Beurer-Kellner, L., Fischer, M., &amp; Tramèr, F. (2024). AgentDojo: A Dynamic Environment to Evaluate Prompt Injection Attacks and Defenses for LLM Agents.</w:t>
      </w:r>
      <w:r>
        <w:t xml:space="preserve"> </w:t>
      </w:r>
      <w:r>
        <w:rPr>
          <w:i/>
          <w:iCs/>
        </w:rPr>
        <w:t xml:space="preserve">NeurIPS 2024, Datasets and Benchmarks Track</w:t>
      </w:r>
      <w:r>
        <w:t xml:space="preserve">.</w:t>
      </w:r>
      <w:r>
        <w:t xml:space="preserve"> </w:t>
      </w:r>
      <w:hyperlink r:id="rId59">
        <w:r>
          <w:rPr>
            <w:rStyle w:val="Hyperlink"/>
            <w:rFonts w:hint="eastAsia"/>
          </w:rPr>
          <w:t xml:space="preserve">正式发表页面</w:t>
        </w:r>
      </w:hyperlink>
      <w:r>
        <w:t xml:space="preserve">. </w:t>
      </w:r>
      <w:r>
        <w:rPr>
          <w:rFonts w:hint="eastAsia"/>
        </w:rPr>
        <w:t xml:space="preserve">预印本核验版本</w:t>
      </w:r>
      <w:r>
        <w:t xml:space="preserve"> </w:t>
      </w:r>
      <w:r>
        <w:rPr>
          <w:rFonts w:hint="eastAsia"/>
        </w:rPr>
        <w:t xml:space="preserve">v3；预印本</w:t>
      </w:r>
      <w:r>
        <w:t xml:space="preserve"> DOI:</w:t>
      </w:r>
      <w:r>
        <w:t xml:space="preserve"> </w:t>
      </w:r>
      <w:hyperlink r:id="rId60">
        <w:r>
          <w:rPr>
            <w:rStyle w:val="Hyperlink"/>
          </w:rPr>
          <w:t xml:space="preserve">10.48550/arXiv.2406.13352</w:t>
        </w:r>
      </w:hyperlink>
      <w:r>
        <w:t xml:space="preserve">.</w:t>
      </w:r>
    </w:p>
    <w:bookmarkEnd w:id="61"/>
    <w:bookmarkEnd w:id="62"/>
    <w:sectPr>
      <w:footerReference r:id="rId9" w:type="default"/>
      <w:footnotePr>
        <w:numRestart w:val="eachSect"/>
      </w:footnotePr>
      <w:pgSz w:h="16838" w:w="11906"/>
      <w:pgMar w:bottom="1304" w:left="1417" w:right="1417" w:top="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研究初稿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12" w:lineRule="auto"/>
    </w:pPr>
    <w:rPr>
      <w:rFonts w:ascii="Times New Roman" w:eastAsia="Songti SC" w:hAnsi="Times New Roman"/>
      <w:sz w:val="22"/>
    </w:rPr>
  </w:style>
  <w:style w:styleId="BodyText" w:type="paragraph">
    <w:name w:val="Body Text"/>
    <w:basedOn w:val="Normal"/>
    <w:link w:val="BodyTextChar"/>
    <w:qFormat/>
    <w:pPr>
      <w:spacing w:after="120" w:before="180" w:line="312" w:lineRule="auto"/>
    </w:pPr>
    <w:rPr>
      <w:rFonts w:ascii="Times New Roman" w:eastAsia="Songti SC" w:hAnsi="Times New Roman"/>
      <w:sz w:val="22"/>
    </w:rPr>
  </w:style>
  <w:style w:customStyle="1" w:styleId="FirstParagraph" w:type="paragraph">
    <w:name w:val="First Paragraph"/>
    <w:basedOn w:val="BodyText"/>
    <w:next w:val="BodyText"/>
    <w:qFormat/>
    <w:pPr>
      <w:spacing w:after="120" w:line="312" w:lineRule="auto"/>
    </w:pPr>
    <w:rPr>
      <w:rFonts w:ascii="Times New Roman" w:eastAsia="Songti SC" w:hAnsi="Times New Roman"/>
      <w:sz w:val="22"/>
    </w:rPr>
  </w:style>
  <w:style w:customStyle="1" w:styleId="Compact" w:type="paragraph">
    <w:name w:val="Compact"/>
    <w:basedOn w:val="BodyText"/>
    <w:qFormat/>
    <w:pPr>
      <w:spacing w:after="120" w:before="36" w:line="312" w:lineRule="auto"/>
    </w:pPr>
    <w:rPr>
      <w:rFonts w:ascii="Times New Roman" w:eastAsia="Songti SC" w:hAnsi="Times New Roman"/>
      <w:sz w:val="22"/>
    </w:rPr>
  </w:style>
  <w:style w:styleId="Title" w:type="paragraph">
    <w:name w:val="Title"/>
    <w:basedOn w:val="Normal"/>
    <w:next w:val="BodyText"/>
    <w:link w:val="TitleChar"/>
    <w:uiPriority w:val="10"/>
    <w:qFormat/>
    <w:rsid w:val="00A10FD9"/>
    <w:pPr>
      <w:keepNext/>
      <w:spacing w:after="80" w:line="240" w:lineRule="auto"/>
      <w:contextualSpacing/>
      <w:jc w:val="center"/>
    </w:pPr>
    <w:rPr>
      <w:rFonts w:ascii="Arial" w:asciiTheme="majorHAnsi" w:cstheme="majorBidi" w:eastAsia="Heiti SC" w:eastAsiaTheme="majorEastAsia" w:hAnsi="Arial" w:hAnsiTheme="majorHAnsi"/>
      <w:color w:val="172B4D"/>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asciiTheme="majorHAnsi" w:cstheme="majorBidi" w:eastAsia="Heiti SC" w:eastAsiaTheme="majorEastAsia" w:hAnsi="Arial" w:hAnsiTheme="majorHAnsi"/>
      <w:color w:val="172B4D"/>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asciiTheme="majorHAnsi" w:cstheme="majorBidi" w:eastAsia="Heiti SC" w:eastAsiaTheme="majorEastAsia" w:hAnsi="Arial" w:hAnsiTheme="majorHAnsi"/>
      <w:color w:val="172B4D"/>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theme="majorBidi" w:eastAsia="Heiti SC" w:eastAsiaTheme="majorEastAsia" w:hAnsi="Arial"/>
      <w:color w:val="172B4D"/>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312" w:lineRule="auto"/>
      <w:ind w:firstLine="0" w:left="480" w:right="480"/>
    </w:pPr>
    <w:rPr>
      <w:rFonts w:ascii="Times New Roman" w:eastAsia="Songti SC" w:hAnsi="Times New Roman"/>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hyperlink" Id="rId57" Target="https://arxiv.org/abs/2609.01992" TargetMode="External" /><Relationship Type="http://schemas.openxmlformats.org/officeDocument/2006/relationships/hyperlink" Id="rId48" Target="https://doi.org/10.18653/v1/2023.emnlp-main.398" TargetMode="External" /><Relationship Type="http://schemas.openxmlformats.org/officeDocument/2006/relationships/hyperlink" Id="rId50" Target="https://doi.org/10.18653/v1/2023.emnlp-main.741" TargetMode="External" /><Relationship Type="http://schemas.openxmlformats.org/officeDocument/2006/relationships/hyperlink" Id="rId49" Target="https://doi.org/10.18653/v1/2023.findings-emnlp.467" TargetMode="External" /><Relationship Type="http://schemas.openxmlformats.org/officeDocument/2006/relationships/hyperlink" Id="rId51" Target="https://doi.org/10.18653/v1/2024.acl-long.585" TargetMode="External" /><Relationship Type="http://schemas.openxmlformats.org/officeDocument/2006/relationships/hyperlink" Id="rId53" Target="https://doi.org/10.48550/arXiv.2310.11511" TargetMode="External" /><Relationship Type="http://schemas.openxmlformats.org/officeDocument/2006/relationships/hyperlink" Id="rId60" Target="https://doi.org/10.48550/arXiv.2406.13352" TargetMode="External" /><Relationship Type="http://schemas.openxmlformats.org/officeDocument/2006/relationships/hyperlink" Id="rId54" Target="https://doi.org/10.48550/arXiv.2504.15629" TargetMode="External" /><Relationship Type="http://schemas.openxmlformats.org/officeDocument/2006/relationships/hyperlink" Id="rId56" Target="https://doi.org/10.48550/arXiv.2609.01992" TargetMode="External" /><Relationship Type="http://schemas.openxmlformats.org/officeDocument/2006/relationships/hyperlink" Id="rId58" Target="https://doi.org/10.48550/arXiv.2609.08481" TargetMode="External" /><Relationship Type="http://schemas.openxmlformats.org/officeDocument/2006/relationships/hyperlink" Id="rId52" Target="https://openreview.net/pdf?id=hSyW5go0v8" TargetMode="External" /><Relationship Type="http://schemas.openxmlformats.org/officeDocument/2006/relationships/hyperlink" Id="rId59" Target="https://proceedings.nips.cc/paper_files/paper/2024/hash/97091a5177d8dc64b1da8bf3e1f6fb54-Abstract-Datasets_and_Benchmarks_Track.html" TargetMode="External" /><Relationship Type="http://schemas.openxmlformats.org/officeDocument/2006/relationships/hyperlink" Id="rId55" Target="https://www.w3.org/TR/2013/NOTE-prov-overview-20130430/" TargetMode="External" /></Relationships>
</file>

<file path=word/_rels/footnotes.xml.rels><?xml version="1.0" encoding="UTF-8"?><Relationships xmlns="http://schemas.openxmlformats.org/package/2006/relationships"><Relationship Type="http://schemas.openxmlformats.org/officeDocument/2006/relationships/hyperlink" Id="rId57" Target="https://arxiv.org/abs/2609.01992" TargetMode="External" /><Relationship Type="http://schemas.openxmlformats.org/officeDocument/2006/relationships/hyperlink" Id="rId48" Target="https://doi.org/10.18653/v1/2023.emnlp-main.398" TargetMode="External" /><Relationship Type="http://schemas.openxmlformats.org/officeDocument/2006/relationships/hyperlink" Id="rId50" Target="https://doi.org/10.18653/v1/2023.emnlp-main.741" TargetMode="External" /><Relationship Type="http://schemas.openxmlformats.org/officeDocument/2006/relationships/hyperlink" Id="rId49" Target="https://doi.org/10.18653/v1/2023.findings-emnlp.467" TargetMode="External" /><Relationship Type="http://schemas.openxmlformats.org/officeDocument/2006/relationships/hyperlink" Id="rId51" Target="https://doi.org/10.18653/v1/2024.acl-long.585" TargetMode="External" /><Relationship Type="http://schemas.openxmlformats.org/officeDocument/2006/relationships/hyperlink" Id="rId53" Target="https://doi.org/10.48550/arXiv.2310.11511" TargetMode="External" /><Relationship Type="http://schemas.openxmlformats.org/officeDocument/2006/relationships/hyperlink" Id="rId60" Target="https://doi.org/10.48550/arXiv.2406.13352" TargetMode="External" /><Relationship Type="http://schemas.openxmlformats.org/officeDocument/2006/relationships/hyperlink" Id="rId54" Target="https://doi.org/10.48550/arXiv.2504.15629" TargetMode="External" /><Relationship Type="http://schemas.openxmlformats.org/officeDocument/2006/relationships/hyperlink" Id="rId56" Target="https://doi.org/10.48550/arXiv.2609.01992" TargetMode="External" /><Relationship Type="http://schemas.openxmlformats.org/officeDocument/2006/relationships/hyperlink" Id="rId58" Target="https://doi.org/10.48550/arXiv.2609.08481" TargetMode="External" /><Relationship Type="http://schemas.openxmlformats.org/officeDocument/2006/relationships/hyperlink" Id="rId52" Target="https://openreview.net/pdf?id=hSyW5go0v8" TargetMode="External" /><Relationship Type="http://schemas.openxmlformats.org/officeDocument/2006/relationships/hyperlink" Id="rId59" Target="https://proceedings.nips.cc/paper_files/paper/2024/hash/97091a5177d8dc64b1da8bf3e1f6fb54-Abstract-Datasets_and_Benchmarks_Track.html" TargetMode="External" /><Relationship Type="http://schemas.openxmlformats.org/officeDocument/2006/relationships/hyperlink" Id="rId55" Target="https://www.w3.org/TR/2013/NOTE-prov-overview-201304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2026-10-04T17:12:17Z</dcterms:created>
  <dcterms:modified xsi:type="dcterms:W3CDTF">2026-10-04T17:12:17Z</dcterms:modified>
</cp:coreProperties>
</file>

<file path=docProps/custom.xml><?xml version="1.0" encoding="utf-8"?>
<Properties xmlns="http://schemas.openxmlformats.org/officeDocument/2006/custom-properties" xmlns:vt="http://schemas.openxmlformats.org/officeDocument/2006/docPropsVTypes"/>
</file>