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面向自主学习的长期人机协作目标连续性渐隐帮助与无人工智能迁移评测"/>
    <w:p>
      <w:pPr>
        <w:pStyle w:val="Heading1"/>
      </w:pPr>
      <w:r>
        <w:rPr>
          <w:rFonts w:hint="eastAsia"/>
        </w:rPr>
        <w:t xml:space="preserve">面向自主学习的长期人机协作：目标连续性、渐隐帮助与无人工智能迁移评测</w:t>
      </w:r>
    </w:p>
    <w:p>
      <w:pPr>
        <w:pStyle w:val="FirstParagraph"/>
      </w:pPr>
      <w:r>
        <w:rPr>
          <w:b/>
          <w:bCs/>
        </w:rPr>
        <w:t xml:space="preserve">Longitudinal Human–AI Collaboration for Learner Autonomy: Goal Continuity, Fading Assistance, and Unaided Transfer Evaluation</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稿件状态：本稿完成方法设计和拟执行研究协议，未招募参与者，未开展真人试验，未取得伦理审批或真实学习数据。示例与样本规模均为研究设计，不是实施记录。模拟学生只能用于检查系统流程，不能证明真实学习效果。</w:t>
      </w:r>
    </w:p>
    <w:bookmarkStart w:id="18" w:name="摘要"/>
    <w:p>
      <w:pPr>
        <w:pStyle w:val="Heading2"/>
      </w:pPr>
      <w:r>
        <w:rPr>
          <w:rFonts w:hint="eastAsia"/>
        </w:rPr>
        <w:t xml:space="preserve">摘要</w:t>
      </w:r>
    </w:p>
    <w:p>
      <w:pPr>
        <w:pStyle w:val="FirstParagraph"/>
      </w:pPr>
      <w:r>
        <w:rPr>
          <w:rFonts w:hint="eastAsia"/>
        </w:rPr>
        <w:t xml:space="preserve">教育智能体可以帮助学习者完成眼前练习，但有帮助时的表现不等于撤去帮助后的学习能力。长期协作还面临目标变化、既有判断过期以及持续帮助削弱独立尝试机会等问题。本文提出面向自主学习的长期协作协议，将学习目标、独立表现、帮助水平和学习者选择分别记录，在跨会话保持目标依据的同时，根据无人工智能提示的检查结果逐步减少帮助，并允许学习者请求恢复支持。该协议不以聊天时长、使用次数或满意度替代学习成效，也不把渐隐帮助视为既有教育研究之外的新发现。本文设计成人先行的分阶段研究，使用目标连续性与渐隐帮助的二乘二比较，并设置非人工智能主动对照，在等学习时间和可比较教学资源下考察机制收益。主要结果为干预结束四周后的无人工智能迁移成绩，辅以即时学习、独立策略选择、合理求助、退出和教师负担。研究明确班级聚类、教师差异、缺失数据及测试练习效应的处理，未成年人研究另需伦理审查、监护人同意和儿童意愿。本稿提供可执行、可反驳的研究协议，尚不能证明该方法改善学习或适合真实学校推广。</w:t>
      </w:r>
    </w:p>
    <w:p>
      <w:pPr>
        <w:pStyle w:val="BodyText"/>
      </w:pPr>
      <w:r>
        <w:rPr>
          <w:rFonts w:hint="eastAsia"/>
          <w:b/>
          <w:bCs/>
        </w:rPr>
        <w:t xml:space="preserve">关键词：</w:t>
      </w:r>
      <w:r>
        <w:t xml:space="preserve"> </w:t>
      </w:r>
      <w:r>
        <w:rPr>
          <w:rFonts w:hint="eastAsia"/>
        </w:rPr>
        <w:t xml:space="preserve">教育智能体；长期人机协作；目标连续性；渐隐帮助；自主学习；学习迁移</w:t>
      </w:r>
    </w:p>
    <w:bookmarkEnd w:id="18"/>
    <w:bookmarkStart w:id="19" w:name="abstract"/>
    <w:p>
      <w:pPr>
        <w:pStyle w:val="Heading2"/>
      </w:pPr>
      <w:r>
        <w:t xml:space="preserve">Abstract</w:t>
      </w:r>
    </w:p>
    <w:p>
      <w:pPr>
        <w:pStyle w:val="FirstParagraph"/>
      </w:pPr>
      <w:r>
        <w:t xml:space="preserve">Educational AI can help learners complete immediate exercises, but performance with assistance does not establish what learners can do after support is removed. Longitudinal collaboration also raises questions about changing goals, outdated learner assessments, and reduced opportunities for independent attempts. This paper proposes a collaboration protocol that separately records learning goals, unaided performance, assistance levels, and learner choices. It maintains explicit goal continuity across sessions while using brief unaided checks to guide the gradual removal of assistance, with support restoration remaining available. Conversation length, usage frequency, and satisfaction are not treated as substitutes for learning. The proposed contribution is a testable integration and evaluation protocol, rather than the invention of fading or self-regulated learning. We specify an adult-first research sequence and a factorial comparison of goal continuity and fading assistance, supplemented by an active non-AI condition. Instructional time and access to learning resources are controlled, and the primary outcome is unaided transfer four weeks after the intervention. Secondary outcomes include immediate learning, independent strategy selection, appropriate help seeking, withdrawal, and instructor workload. The protocol addresses classroom clustering, instructor effects, missing outcomes, and the learning effects of repeated testing. Research involving minors requires a separate ethical review, parental consent, and the child’s continuing assent. No participants have been recruited and no empirical effects are reported. The present manuscript provides a falsifiable protocol whose educational value and suitability for school deployment remain to be established.</w:t>
      </w:r>
    </w:p>
    <w:p>
      <w:pPr>
        <w:pStyle w:val="BodyText"/>
      </w:pPr>
      <w:r>
        <w:rPr>
          <w:b/>
          <w:bCs/>
        </w:rPr>
        <w:t xml:space="preserve">Keywords:</w:t>
      </w:r>
      <w:r>
        <w:t xml:space="preserve"> </w:t>
      </w:r>
      <w:r>
        <w:t xml:space="preserve">educational agents; longitudinal human–AI collaboration; goal continuity; fading assistance; learner autonomy; transfer of learning</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学生借助智能体完成一道题，可能意味着理解了知识，也可能只是获得了更完整的提示。两种情况在当次作业成绩上相似，却对后续独立学习有不同含义。Bastani</w:t>
      </w:r>
      <w:r>
        <w:t xml:space="preserve"> </w:t>
      </w:r>
      <w:r>
        <w:rPr>
          <w:rFonts w:hint="eastAsia"/>
        </w:rPr>
        <w:t xml:space="preserve">等对高中数学的研究区分有人工智能帮助的练习表现与撤去帮助后的考试表现，说明学习研究需要直接测量后者[1]。另一方面，Kestin</w:t>
      </w:r>
      <w:r>
        <w:t xml:space="preserve"> </w:t>
      </w:r>
      <w:r>
        <w:rPr>
          <w:rFonts w:hint="eastAsia"/>
        </w:rPr>
        <w:t xml:space="preserve">等在大学物理情境的随机试验报告了经过教学设计的人工智能辅导收益[2]。这些结果对应不同人群、教学安排和评价条件，不能合并为人工智能普遍有益或普遍有害的结论。</w:t>
      </w:r>
    </w:p>
    <w:p>
      <w:pPr>
        <w:pStyle w:val="BodyText"/>
      </w:pPr>
      <w:r>
        <w:rPr>
          <w:rFonts w:hint="eastAsia"/>
        </w:rPr>
        <w:t xml:space="preserve">长期协作提出更细的问题。上周系统认为已经掌握的知识，本周是否仍然能独立应用？学生改变目标后，系统是否继续按旧目标安排练习？连续答对是因为能力增长，还是因为提示越来越接近答案？如果没有区分这些情况，智能体可能形成流畅的学习陪伴，却没有支持能力逐渐转移到学习者自身。</w:t>
      </w:r>
    </w:p>
    <w:p>
      <w:pPr>
        <w:pStyle w:val="BodyText"/>
      </w:pPr>
      <w:r>
        <w:rPr>
          <w:rFonts w:hint="eastAsia"/>
        </w:rPr>
        <w:t xml:space="preserve">本文把“长期”操作性地限定为八周干预和四周延迟追踪中的多次学习，不指已经获得多年发展证据。“协作”指学习者、教师和系统之间的任务分工：学习者进行尝试并表达选择，教师承担课程和异常处理责任，系统提供有边界的反馈与记录。持续使用本身不作为成功目标。</w:t>
      </w:r>
    </w:p>
    <w:p>
      <w:pPr>
        <w:pStyle w:val="BodyText"/>
      </w:pPr>
      <w:r>
        <w:rPr>
          <w:rFonts w:hint="eastAsia"/>
        </w:rPr>
        <w:t xml:space="preserve">本文的研究问题是：</w:t>
      </w:r>
      <w:r>
        <w:rPr>
          <w:rFonts w:hint="eastAsia"/>
          <w:b/>
          <w:bCs/>
        </w:rPr>
        <w:t xml:space="preserve">保持可修订的学习目标连续性，并根据独立表现逐步撤除帮助，是否能够改善延迟的无人工智能迁移，同时维护学习者选择和必要支持？</w:t>
      </w:r>
      <w:r>
        <w:t xml:space="preserve"> </w:t>
      </w:r>
      <w:r>
        <w:rPr>
          <w:rFonts w:hint="eastAsia"/>
        </w:rPr>
        <w:t xml:space="preserve">该问题以既有教学机制为基础，允许方法无效或对部分学习者不利。当前稿件的贡献是可检验的组合机制和对照协议，不是已经验证的学习干预。</w:t>
      </w:r>
    </w:p>
    <w:bookmarkEnd w:id="20"/>
    <w:bookmarkStart w:id="25" w:name="理论依据与最近邻研究"/>
    <w:p>
      <w:pPr>
        <w:pStyle w:val="Heading2"/>
      </w:pPr>
      <w:r>
        <w:t xml:space="preserve">2 </w:t>
      </w:r>
      <w:r>
        <w:rPr>
          <w:rFonts w:hint="eastAsia"/>
        </w:rPr>
        <w:t xml:space="preserve">理论依据与最近邻研究</w:t>
      </w:r>
    </w:p>
    <w:bookmarkStart w:id="21" w:name="帮助多少以及何时撤除"/>
    <w:p>
      <w:pPr>
        <w:pStyle w:val="Heading3"/>
      </w:pPr>
      <w:r>
        <w:t xml:space="preserve">2.1 </w:t>
      </w:r>
      <w:r>
        <w:rPr>
          <w:rFonts w:hint="eastAsia"/>
        </w:rPr>
        <w:t xml:space="preserve">帮助多少以及何时撤除</w:t>
      </w:r>
    </w:p>
    <w:p>
      <w:pPr>
        <w:pStyle w:val="FirstParagraph"/>
      </w:pPr>
      <w:r>
        <w:t xml:space="preserve">Atkinson、Renkl </w:t>
      </w:r>
      <w:r>
        <w:rPr>
          <w:rFonts w:hint="eastAsia"/>
        </w:rPr>
        <w:t xml:space="preserve">与</w:t>
      </w:r>
      <w:r>
        <w:t xml:space="preserve"> Merrill </w:t>
      </w:r>
      <w:r>
        <w:rPr>
          <w:rFonts w:hint="eastAsia"/>
        </w:rPr>
        <w:t xml:space="preserve">研究从完整例题逐渐过渡到独立解题，并考察自我解释提示的作用[3]。“渐隐帮助”即随着能力发展减少直接给出的解题步骤，类似教练从完整示范转为少量提示，再让学习者独立完成。本文继承这一思想，不将逐步减少答案展示写成新发明。</w:t>
      </w:r>
    </w:p>
    <w:p>
      <w:pPr>
        <w:pStyle w:val="BodyText"/>
      </w:pPr>
      <w:r>
        <w:t xml:space="preserve">Koedinger </w:t>
      </w:r>
      <w:r>
        <w:rPr>
          <w:rFonts w:hint="eastAsia"/>
        </w:rPr>
        <w:t xml:space="preserve">与</w:t>
      </w:r>
      <w:r>
        <w:t xml:space="preserve"> Aleven </w:t>
      </w:r>
      <w:r>
        <w:rPr>
          <w:rFonts w:hint="eastAsia"/>
        </w:rPr>
        <w:t xml:space="preserve">讨论了提供帮助和保留自主生成机会之间的取舍[4]。帮助不足可能使学习者无效尝试，过早提供完整答案又可能跳过必要加工。因此，本文不规定提示越少越好，也不因学生请求帮助而将其标记为依赖。研究对象是何种帮助调整规则能支持未来独立表现。</w:t>
      </w:r>
    </w:p>
    <w:bookmarkEnd w:id="21"/>
    <w:bookmarkStart w:id="22" w:name="自我调节与保持"/>
    <w:p>
      <w:pPr>
        <w:pStyle w:val="Heading3"/>
      </w:pPr>
      <w:r>
        <w:t xml:space="preserve">2.2 </w:t>
      </w:r>
      <w:r>
        <w:rPr>
          <w:rFonts w:hint="eastAsia"/>
        </w:rPr>
        <w:t xml:space="preserve">自我调节与保持</w:t>
      </w:r>
    </w:p>
    <w:p>
      <w:pPr>
        <w:pStyle w:val="FirstParagraph"/>
      </w:pPr>
      <w:r>
        <w:t xml:space="preserve">Zimmerman </w:t>
      </w:r>
      <w:r>
        <w:rPr>
          <w:rFonts w:hint="eastAsia"/>
        </w:rPr>
        <w:t xml:space="preserve">将自我调节学习理解为学习者参与目标设定、过程监控及反思调整的活动[5]。本文据此保留学习者修订目标、选择练习和说明策略的机会。自主性不等于被放任独自学习，也不能用拒绝求助次数表示。</w:t>
      </w:r>
    </w:p>
    <w:p>
      <w:pPr>
        <w:pStyle w:val="BodyText"/>
      </w:pPr>
      <w:r>
        <w:t xml:space="preserve">Roediger </w:t>
      </w:r>
      <w:r>
        <w:rPr>
          <w:rFonts w:hint="eastAsia"/>
        </w:rPr>
        <w:t xml:space="preserve">与</w:t>
      </w:r>
      <w:r>
        <w:t xml:space="preserve"> Karpicke </w:t>
      </w:r>
      <w:r>
        <w:rPr>
          <w:rFonts w:hint="eastAsia"/>
        </w:rPr>
        <w:t xml:space="preserve">的研究表明，提取练习本身会影响延迟保持，且短时表现与延迟结果可能不同[6]。因此，无帮助检查既是测量工具，也可能构成教学干预。本文必须给所有比较组相同数量、时长和难度的检查，否则无法区分渐隐策略和额外提取练习的作用。</w:t>
      </w:r>
    </w:p>
    <w:bookmarkEnd w:id="22"/>
    <w:bookmarkStart w:id="23" w:name="人工智能与教师协作"/>
    <w:p>
      <w:pPr>
        <w:pStyle w:val="Heading3"/>
      </w:pPr>
      <w:r>
        <w:t xml:space="preserve">2.3 </w:t>
      </w:r>
      <w:r>
        <w:rPr>
          <w:rFonts w:hint="eastAsia"/>
        </w:rPr>
        <w:t xml:space="preserve">人工智能与教师协作</w:t>
      </w:r>
    </w:p>
    <w:p>
      <w:pPr>
        <w:pStyle w:val="FirstParagraph"/>
      </w:pPr>
      <w:r>
        <w:t xml:space="preserve">Tutor CoPilot </w:t>
      </w:r>
      <w:r>
        <w:rPr>
          <w:rFonts w:hint="eastAsia"/>
        </w:rPr>
        <w:t xml:space="preserve">向正在辅导的教师提供建议，把人的教学判断保留在协作中[7]。它与本文共同关注人的作用，但本文拟比较学习者跨会话目标与帮助调整机制，不研究如何最大化教师对人工智能建议的采纳。该文不同版本存在规模表述差异，本稿引用已核验的作者预印本版本，不混用二手报道中的样本数。</w:t>
      </w:r>
    </w:p>
    <w:p>
      <w:pPr>
        <w:pStyle w:val="BodyText"/>
      </w:pPr>
      <w:r>
        <w:t xml:space="preserve">Xu </w:t>
      </w:r>
      <w:r>
        <w:rPr>
          <w:rFonts w:hint="eastAsia"/>
        </w:rPr>
        <w:t xml:space="preserve">等在生成式人工智能环境中研究元认知支持与大学生的自我调节学习[8]，与本文直接相邻。因此，目标设定、反思提示和学习者监控都不能单独作为本文原创贡献。拟检验的增量是跨会话目标保持与基于独立表现的帮助调整能否在相同元认知支持之上改善延迟迁移。</w:t>
      </w:r>
    </w:p>
    <w:bookmarkEnd w:id="23"/>
    <w:bookmarkStart w:id="24" w:name="近期研究与证据限制"/>
    <w:p>
      <w:pPr>
        <w:pStyle w:val="Heading3"/>
      </w:pPr>
      <w:r>
        <w:t xml:space="preserve">2.4 </w:t>
      </w:r>
      <w:r>
        <w:rPr>
          <w:rFonts w:hint="eastAsia"/>
        </w:rPr>
        <w:t xml:space="preserve">近期研究与证据限制</w:t>
      </w:r>
    </w:p>
    <w:p>
      <w:pPr>
        <w:pStyle w:val="FirstParagraph"/>
      </w:pPr>
      <w:r>
        <w:t xml:space="preserve">Yang </w:t>
      </w:r>
      <w:r>
        <w:rPr>
          <w:rFonts w:hint="eastAsia"/>
        </w:rPr>
        <w:t xml:space="preserve">等的近期预印本区分结构化教学与语音、文本交互方式[9]。它提示评价应把学习效果与使用偏好、交互量分别测量。本文只依据已核验摘要引用这一设计区分，不把该研究的人群或课程结果直接外推到儿童教育。</w:t>
      </w:r>
    </w:p>
    <w:p>
      <w:pPr>
        <w:pStyle w:val="BodyText"/>
      </w:pPr>
      <w:r>
        <w:t xml:space="preserve">Harrison </w:t>
      </w:r>
      <w:r>
        <w:rPr>
          <w:rFonts w:hint="eastAsia"/>
        </w:rPr>
        <w:t xml:space="preserve">等的近期预印本在多校情境研究人工智能辅导，并明确报告退出、测量与实施限制[10]。这使本文不能以持续数周的评测本身作为创新，也说明真实教育研究需要解释谁留下来完成后测。本稿截至</w:t>
      </w:r>
      <w:r>
        <w:t xml:space="preserve"> 2026 </w:t>
      </w:r>
      <w:r>
        <w:rPr>
          <w:rFonts w:hint="eastAsia"/>
        </w:rPr>
        <w:t xml:space="preserve">年</w:t>
      </w:r>
      <w:r>
        <w:t xml:space="preserve"> 10 </w:t>
      </w:r>
      <w:r>
        <w:rPr>
          <w:rFonts w:hint="eastAsia"/>
        </w:rPr>
        <w:t xml:space="preserve">月</w:t>
      </w:r>
      <w:r>
        <w:t xml:space="preserve"> 4 </w:t>
      </w:r>
      <w:r>
        <w:rPr>
          <w:rFonts w:hint="eastAsia"/>
        </w:rPr>
        <w:t xml:space="preserve">日的检索为定向文献核验，不构成系统综述。最近邻比较的完整性和独立贡献仍有待更充分全文研究与实验检验。</w:t>
      </w:r>
    </w:p>
    <w:bookmarkEnd w:id="24"/>
    <w:bookmarkEnd w:id="25"/>
    <w:bookmarkStart w:id="28" w:name="问题定义与假设"/>
    <w:p>
      <w:pPr>
        <w:pStyle w:val="Heading2"/>
      </w:pPr>
      <w:r>
        <w:t xml:space="preserve">3 </w:t>
      </w:r>
      <w:r>
        <w:rPr>
          <w:rFonts w:hint="eastAsia"/>
        </w:rPr>
        <w:t xml:space="preserve">问题定义与假设</w:t>
      </w:r>
    </w:p>
    <w:bookmarkStart w:id="26" w:name="学习表现与协作状态"/>
    <w:p>
      <w:pPr>
        <w:pStyle w:val="Heading3"/>
      </w:pPr>
      <w:r>
        <w:t xml:space="preserve">3.1 </w:t>
      </w:r>
      <w:r>
        <w:rPr>
          <w:rFonts w:hint="eastAsia"/>
        </w:rPr>
        <w:t xml:space="preserve">学习表现与协作状态</w:t>
      </w:r>
    </w:p>
    <w:p>
      <w:pPr>
        <w:pStyle w:val="FirstParagraph"/>
      </w:pPr>
      <w:r>
        <w:rPr>
          <w:rFonts w:hint="eastAsia"/>
        </w:rPr>
        <w:t xml:space="preserve">设学习者</w:t>
      </w:r>
      <w:r>
        <w:t xml:space="preserve"> </w:t>
      </w:r>
      <m:oMath>
        <m:r>
          <m:t>i</m:t>
        </m:r>
      </m:oMath>
      <w:r>
        <w:t xml:space="preserve"> </w:t>
      </w:r>
      <w:r>
        <w:rPr>
          <w:rFonts w:hint="eastAsia"/>
        </w:rPr>
        <w:t xml:space="preserve">在会话</w:t>
      </w:r>
      <w:r>
        <w:t xml:space="preserve"> </w:t>
      </w:r>
      <m:oMath>
        <m:r>
          <m:t>t</m:t>
        </m:r>
      </m:oMath>
      <w:r>
        <w:t xml:space="preserve"> </w:t>
      </w:r>
      <w:r>
        <w:rPr>
          <w:rFonts w:hint="eastAsia"/>
        </w:rPr>
        <w:t xml:space="preserve">的协作记录为</w:t>
      </w:r>
    </w:p>
    <w:p>
      <w:pPr>
        <w:pStyle w:val="BodyText"/>
      </w:pPr>
      <m:oMathPara>
        <m:oMathParaPr>
          <m:jc m:val="center"/>
        </m:oMathParaPr>
        <m:oMath>
          <m:sSub>
            <m:e>
              <m:r>
                <m:t>S</m:t>
              </m:r>
            </m:e>
            <m:sub>
              <m:r>
                <m:t>i</m:t>
              </m:r>
              <m:r>
                <m:t>t</m:t>
              </m:r>
            </m:sub>
          </m:sSub>
          <m:r>
            <m:rPr>
              <m:sty m:val="p"/>
            </m:rPr>
            <m:t>=</m:t>
          </m:r>
          <m:r>
            <m:rPr>
              <m:sty m:val="p"/>
            </m:rPr>
            <m:t>(</m:t>
          </m:r>
          <m:sSub>
            <m:e>
              <m:r>
                <m:t>G</m:t>
              </m:r>
            </m:e>
            <m:sub>
              <m:r>
                <m:t>i</m:t>
              </m:r>
              <m:r>
                <m:t>t</m:t>
              </m:r>
            </m:sub>
          </m:sSub>
          <m:r>
            <m:rPr>
              <m:sty m:val="p"/>
            </m:rPr>
            <m:t>,</m:t>
          </m:r>
          <m:sSub>
            <m:e>
              <m:r>
                <m:t>E</m:t>
              </m:r>
            </m:e>
            <m:sub>
              <m:r>
                <m:t>i</m:t>
              </m:r>
              <m:r>
                <m:t>t</m:t>
              </m:r>
            </m:sub>
          </m:sSub>
          <m:r>
            <m:rPr>
              <m:sty m:val="p"/>
            </m:rPr>
            <m:t>,</m:t>
          </m:r>
          <m:sSub>
            <m:e>
              <m:r>
                <m:t>A</m:t>
              </m:r>
            </m:e>
            <m:sub>
              <m:r>
                <m:t>i</m:t>
              </m:r>
              <m:r>
                <m:t>t</m:t>
              </m:r>
            </m:sub>
          </m:sSub>
          <m:r>
            <m:rPr>
              <m:sty m:val="p"/>
            </m:rPr>
            <m:t>,</m:t>
          </m:r>
          <m:sSub>
            <m:e>
              <m:r>
                <m:t>P</m:t>
              </m:r>
            </m:e>
            <m:sub>
              <m:r>
                <m:t>i</m:t>
              </m:r>
              <m:r>
                <m:t>t</m:t>
              </m:r>
            </m:sub>
          </m:sSub>
          <m:r>
            <m:rPr>
              <m:sty m:val="p"/>
            </m:rPr>
            <m:t>,</m:t>
          </m:r>
          <m:sSub>
            <m:e>
              <m:r>
                <m:t>V</m:t>
              </m:r>
            </m:e>
            <m:sub>
              <m:r>
                <m:t>i</m:t>
              </m:r>
              <m:r>
                <m:t>t</m:t>
              </m:r>
            </m:sub>
          </m:sSub>
          <m:r>
            <m:rPr>
              <m:sty m:val="p"/>
            </m:rPr>
            <m:t>)</m:t>
          </m:r>
          <m:r>
            <m:rPr>
              <m:sty m:val="p"/>
            </m:rPr>
            <m:t>,</m:t>
          </m:r>
        </m:oMath>
      </m:oMathPara>
    </w:p>
    <w:p>
      <w:pPr>
        <w:pStyle w:val="FirstParagraph"/>
      </w:pPr>
      <w:r>
        <w:rPr>
          <w:rFonts w:hint="eastAsia"/>
        </w:rPr>
        <w:t xml:space="preserve">其中</w:t>
      </w:r>
      <w:r>
        <w:t xml:space="preserve"> </w:t>
      </w:r>
      <m:oMath>
        <m:r>
          <m:t>G</m:t>
        </m:r>
      </m:oMath>
      <w:r>
        <w:t xml:space="preserve"> </w:t>
      </w:r>
      <w:r>
        <w:rPr>
          <w:rFonts w:hint="eastAsia"/>
        </w:rPr>
        <w:t xml:space="preserve">是当前目标及其关联课程内容，</w:t>
      </w:r>
      <m:oMath>
        <m:r>
          <m:t>E</m:t>
        </m:r>
      </m:oMath>
      <w:r>
        <w:t xml:space="preserve"> </w:t>
      </w:r>
      <w:r>
        <w:rPr>
          <w:rFonts w:hint="eastAsia"/>
        </w:rPr>
        <w:t xml:space="preserve">是学习表现证据，</w:t>
      </w:r>
      <m:oMath>
        <m:r>
          <m:t>A</m:t>
        </m:r>
      </m:oMath>
      <w:r>
        <w:t xml:space="preserve"> </w:t>
      </w:r>
      <w:r>
        <w:rPr>
          <w:rFonts w:hint="eastAsia"/>
        </w:rPr>
        <w:t xml:space="preserve">是帮助水平，</w:t>
      </w:r>
      <m:oMath>
        <m:r>
          <m:t>P</m:t>
        </m:r>
      </m:oMath>
      <w:r>
        <w:t xml:space="preserve"> </w:t>
      </w:r>
      <w:r>
        <w:rPr>
          <w:rFonts w:hint="eastAsia"/>
        </w:rPr>
        <w:t xml:space="preserve">是学习者表达的选择和限制，</w:t>
      </w:r>
      <m:oMath>
        <m:r>
          <m:t>V</m:t>
        </m:r>
      </m:oMath>
      <w:r>
        <w:t xml:space="preserve"> </w:t>
      </w:r>
      <w:r>
        <w:rPr>
          <w:rFonts w:hint="eastAsia"/>
        </w:rPr>
        <w:t xml:space="preserve">是记录与规则版本。记录表达系统已经观察到的内容，不代表对能力、人格或动机的完整判断。</w:t>
      </w:r>
    </w:p>
    <w:p>
      <w:pPr>
        <w:pStyle w:val="BodyText"/>
      </w:pPr>
      <w:r>
        <w:rPr>
          <w:rFonts w:hint="eastAsia"/>
        </w:rPr>
        <w:t xml:space="preserve">表现证据区分独立作答、提示后作答、完整示范后模仿和自我报告。只有事先规定的无帮助条件下完成的任务，才进入“独立表现”序列。学习者回忆自己“已经会了”可以作为下一次检查的线索，不能直接升级掌握状态。答错也只关联当前知识目标和题目，不写成长期的“能力差”标签。</w:t>
      </w:r>
    </w:p>
    <w:p>
      <w:pPr>
        <w:pStyle w:val="BodyText"/>
      </w:pPr>
      <w:r>
        <w:rPr>
          <w:rFonts w:hint="eastAsia"/>
        </w:rPr>
        <w:t xml:space="preserve">对目标</w:t>
      </w:r>
      <w:r>
        <w:t xml:space="preserve"> </w:t>
      </w:r>
      <m:oMath>
        <m:r>
          <m:t>g</m:t>
        </m:r>
      </m:oMath>
      <w:r>
        <w:t xml:space="preserve"> </w:t>
      </w:r>
      <w:r>
        <w:rPr>
          <w:rFonts w:hint="eastAsia"/>
        </w:rPr>
        <w:t xml:space="preserve">定义暂定独立表现记录</w:t>
      </w:r>
      <w:r>
        <w:t xml:space="preserve"> </w:t>
      </w:r>
      <m:oMath>
        <m:sSub>
          <m:e>
            <m:r>
              <m:t>M</m:t>
            </m:r>
          </m:e>
          <m:sub>
            <m:r>
              <m:t>i</m:t>
            </m:r>
            <m:r>
              <m:t>t</m:t>
            </m:r>
          </m:sub>
        </m:sSub>
        <m:r>
          <m:rPr>
            <m:sty m:val="p"/>
          </m:rPr>
          <m:t>(</m:t>
        </m:r>
        <m:r>
          <m:t>g</m:t>
        </m:r>
        <m:r>
          <m:rPr>
            <m:sty m:val="p"/>
          </m:rPr>
          <m:t>)</m:t>
        </m:r>
      </m:oMath>
      <w:r>
        <w:rPr>
          <w:rFonts w:hint="eastAsia"/>
        </w:rPr>
        <w:t xml:space="preserve">，由经核验的作答、解释和新题应用组成。它不是精确心理测量值。课程改变、记录纠错或长时间未练习时，系统显示“需要重新确认”，并提供合适检查。学生可以查看并纠正记录，教师处理争议。</w:t>
      </w:r>
    </w:p>
    <w:bookmarkEnd w:id="26"/>
    <w:bookmarkStart w:id="27" w:name="研究假设"/>
    <w:p>
      <w:pPr>
        <w:pStyle w:val="Heading3"/>
      </w:pPr>
      <w:r>
        <w:t xml:space="preserve">3.2 </w:t>
      </w:r>
      <w:r>
        <w:rPr>
          <w:rFonts w:hint="eastAsia"/>
        </w:rPr>
        <w:t xml:space="preserve">研究假设</w:t>
      </w:r>
    </w:p>
    <w:p>
      <w:pPr>
        <w:pStyle w:val="FirstParagraph"/>
      </w:pPr>
      <w:r>
        <w:rPr>
          <w:rFonts w:hint="eastAsia"/>
        </w:rPr>
        <w:t xml:space="preserve">H1：目标连续性与渐隐帮助结合，相比具有相同教学内容和固定帮助的人工智能组，提高四周后的无帮助迁移成绩。若收益只存在于使用系统时的练习成绩，则不支持</w:t>
      </w:r>
      <w:r>
        <w:t xml:space="preserve"> H1。</w:t>
      </w:r>
    </w:p>
    <w:p>
      <w:pPr>
        <w:pStyle w:val="BodyText"/>
      </w:pPr>
      <w:r>
        <w:rPr>
          <w:rFonts w:hint="eastAsia"/>
        </w:rPr>
        <w:t xml:space="preserve">H2：两种机制可能存在交互，即保留历史目标和独立表现后，渐隐帮助的效果不同于只根据当前会话调整帮助。交互是待检验问题，不预设必然正向；样本不足时只报告探索性区间。</w:t>
      </w:r>
    </w:p>
    <w:p>
      <w:pPr>
        <w:pStyle w:val="BodyText"/>
      </w:pPr>
      <w:r>
        <w:rPr>
          <w:rFonts w:hint="eastAsia"/>
        </w:rPr>
        <w:t xml:space="preserve">H3：方法增加独立策略选择和自我检查，同时不增加不必要的帮助拒绝、持续挫败或退出。若低提示量来自系统限制求助而非能力发展，不能据此认定自主性提高。</w:t>
      </w:r>
    </w:p>
    <w:p>
      <w:pPr>
        <w:pStyle w:val="BodyText"/>
      </w:pPr>
      <w:r>
        <w:rPr>
          <w:rFonts w:hint="eastAsia"/>
        </w:rPr>
        <w:t xml:space="preserve">H4：完整方法相较匹配课程的非人工智能主动对照，其收益和额外成本存在可评估关系。该比较不以“使用人工智能”为成功标签，也不要求非人工智能组表现较差。</w:t>
      </w:r>
    </w:p>
    <w:bookmarkEnd w:id="27"/>
    <w:bookmarkEnd w:id="28"/>
    <w:bookmarkStart w:id="34" w:name="长期协作协议"/>
    <w:p>
      <w:pPr>
        <w:pStyle w:val="Heading2"/>
      </w:pPr>
      <w:r>
        <w:t xml:space="preserve">4 </w:t>
      </w:r>
      <w:r>
        <w:rPr>
          <w:rFonts w:hint="eastAsia"/>
        </w:rPr>
        <w:t xml:space="preserve">长期协作协议</w:t>
      </w:r>
    </w:p>
    <w:bookmarkStart w:id="29" w:name="建立可修改的目标约定"/>
    <w:p>
      <w:pPr>
        <w:pStyle w:val="Heading3"/>
      </w:pPr>
      <w:r>
        <w:t xml:space="preserve">4.1 </w:t>
      </w:r>
      <w:r>
        <w:rPr>
          <w:rFonts w:hint="eastAsia"/>
        </w:rPr>
        <w:t xml:space="preserve">建立可修改的目标约定</w:t>
      </w:r>
    </w:p>
    <w:p>
      <w:pPr>
        <w:pStyle w:val="FirstParagraph"/>
      </w:pPr>
      <w:r>
        <w:rPr>
          <w:rFonts w:hint="eastAsia"/>
        </w:rPr>
        <w:t xml:space="preserve">每个单元开始时，学习者在教师确认的课程范围内选择一个具体目标，例如“能解释为何平均数在极端值存在时具有局限”。系统展示可检查的表现：比较两组数据、选择合适统计量并说明理由。目标应当小到可以观察，又不应缩成只会套用某一道题。</w:t>
      </w:r>
    </w:p>
    <w:p>
      <w:pPr>
        <w:pStyle w:val="BodyText"/>
      </w:pPr>
      <w:r>
        <w:rPr>
          <w:rFonts w:hint="eastAsia"/>
        </w:rPr>
        <w:t xml:space="preserve">目标记录包括设定者、目的、适用单元、检查标准和修订历史。学习者可以说明目标不再相关或难度不合适；教师负责协调课程要求与个人选择。目标连续性指后续任务能追溯到目前有效的目标，并允许有理由地改变，而不是长期强制执行最初计划。</w:t>
      </w:r>
    </w:p>
    <w:p>
      <w:pPr>
        <w:pStyle w:val="BodyText"/>
      </w:pPr>
      <w:r>
        <w:rPr>
          <w:rFonts w:hint="eastAsia"/>
        </w:rPr>
        <w:t xml:space="preserve">每次会话开头用简短复述确认目标和上一阶段的独立表现。没有可靠记录时承认缺失并重新检查，不能凭对话熟悉感声称记得学生已经掌握。元认知提示，如“这次先尝试什么策略”，在所有人工智能实验组中保持一致，以免连续性机制混入额外教学。</w:t>
      </w:r>
    </w:p>
    <w:bookmarkEnd w:id="29"/>
    <w:bookmarkStart w:id="30" w:name="用相同的无帮助检查区分表现"/>
    <w:p>
      <w:pPr>
        <w:pStyle w:val="Heading3"/>
      </w:pPr>
      <w:r>
        <w:t xml:space="preserve">4.2 </w:t>
      </w:r>
      <w:r>
        <w:rPr>
          <w:rFonts w:hint="eastAsia"/>
        </w:rPr>
        <w:t xml:space="preserve">用相同的无帮助检查区分表现</w:t>
      </w:r>
    </w:p>
    <w:p>
      <w:pPr>
        <w:pStyle w:val="FirstParagraph"/>
      </w:pPr>
      <w:r>
        <w:rPr>
          <w:rFonts w:hint="eastAsia"/>
        </w:rPr>
        <w:t xml:space="preserve">学习环节先提供一道短题或解释任务，要求学习者在约定时间内独立尝试。无帮助意味着该段不提供人工智能提示、答案检索或教师内容指导，必要的无障碍支持仍保留并事先统一。无法开始时允许主动结束检查并请求帮助，不惩罚退出检查。</w:t>
      </w:r>
    </w:p>
    <w:p>
      <w:pPr>
        <w:pStyle w:val="BodyText"/>
      </w:pPr>
      <w:r>
        <w:rPr>
          <w:rFonts w:hint="eastAsia"/>
        </w:rPr>
        <w:t xml:space="preserve">检查评分来自教师审核的题库与评分规则。语言模型可提出候选评分，但关键状态变化依赖可验证答案或人工抽检，不仅依据同一模型对自己教学效果的判断。开放解释任务按概念、论据和错误类型评分，不因表述更长而加分。对罕见答案或评分分歧进入人工复核，等待期间不武断减少帮助。</w:t>
      </w:r>
    </w:p>
    <w:p>
      <w:pPr>
        <w:pStyle w:val="BodyText"/>
      </w:pPr>
      <w:r>
        <w:rPr>
          <w:rFonts w:hint="eastAsia"/>
        </w:rPr>
        <w:t xml:space="preserve">这些检查用于调整教学，不进入正式迁移题库。所有组都接受相同的短检查和反馈安排，每次会话均包含两个检查点，分别安排在会话前段与中段，第二次检查后保留至少一次可采用新帮助水平的练习机会。后续统计将其作为共同教学成分，不能把检查产生的练习收益归给目标连续性。</w:t>
      </w:r>
    </w:p>
    <w:bookmarkEnd w:id="30"/>
    <w:bookmarkStart w:id="31" w:name="逐渐撤除帮助同时允许恢复"/>
    <w:p>
      <w:pPr>
        <w:pStyle w:val="Heading3"/>
      </w:pPr>
      <w:r>
        <w:t xml:space="preserve">4.3 </w:t>
      </w:r>
      <w:r>
        <w:rPr>
          <w:rFonts w:hint="eastAsia"/>
        </w:rPr>
        <w:t xml:space="preserve">逐渐撤除帮助，同时允许恢复</w:t>
      </w:r>
    </w:p>
    <w:p>
      <w:pPr>
        <w:pStyle w:val="FirstParagraph"/>
      </w:pPr>
      <w:r>
        <w:rPr>
          <w:rFonts w:hint="eastAsia"/>
        </w:rPr>
        <w:t xml:space="preserve">帮助水平按信息量定义：完整示范并解释、分步示范留出关键步骤、给出策略提示、仅给检查提示、独立完成。界面呈现为可选择的支持方式，不把水平编号展示成排名。完整示范可用于学习新概念，但示范后的同题正确不计作独立掌握。</w:t>
      </w:r>
    </w:p>
    <w:p>
      <w:pPr>
        <w:pStyle w:val="BodyText"/>
      </w:pPr>
      <w:r>
        <w:rPr>
          <w:rFonts w:hint="eastAsia"/>
        </w:rPr>
        <w:t xml:space="preserve">拟定初始规则是：同一目标在两道不同的新题上独立完成，且解释达到事前评分标准，从</w:t>
      </w:r>
      <w:r>
        <w:rPr>
          <w:rFonts w:hint="eastAsia"/>
          <w:b/>
          <w:bCs/>
        </w:rPr>
        <w:t xml:space="preserve">本会话下一次练习</w:t>
      </w:r>
      <w:r>
        <w:rPr>
          <w:rFonts w:hint="eastAsia"/>
        </w:rPr>
        <w:t xml:space="preserve">起减少一级帮助；若新题显示概念性错误，随后恢复一级并提供另一种解释。两个独立检查点在每次会话中都提供，避免无历史记录组永远无法满足减助条件。连续性组可使用当前与先前会话的有效检查，非连续性组仅使用当前会话检查；阈值和调整幅度相同。非连续性组只在新会话开始时重置初始帮助水平，本会话内的调整始终生效。阈值是待开发试点修订的操作规则，不是已有证据证明的最优次数。正式试验前冻结版本，并对评分误差与不同阈值做敏感性分析。</w:t>
      </w:r>
    </w:p>
    <w:p>
      <w:pPr>
        <w:pStyle w:val="BodyText"/>
      </w:pPr>
      <w:r>
        <w:rPr>
          <w:rFonts w:hint="eastAsia"/>
        </w:rPr>
        <w:t xml:space="preserve">帮助调整遵循</w:t>
      </w:r>
    </w:p>
    <w:p>
      <w:pPr>
        <w:pStyle w:val="BodyText"/>
      </w:pPr>
      <m:oMathPara>
        <m:oMathParaPr>
          <m:jc m:val="center"/>
        </m:oMathParaPr>
        <m:oMath>
          <m:sSub>
            <m:e>
              <m:r>
                <m:t>A</m:t>
              </m:r>
            </m:e>
            <m:sub>
              <m:r>
                <m:t>i</m:t>
              </m:r>
              <m:r>
                <m:rPr>
                  <m:sty m:val="p"/>
                </m:rPr>
                <m:t>,</m:t>
              </m:r>
              <m:r>
                <m:t>s</m:t>
              </m:r>
              <m:r>
                <m:rPr>
                  <m:sty m:val="p"/>
                </m:rPr>
                <m:t>,</m:t>
              </m:r>
              <m:r>
                <m:t>j</m:t>
              </m:r>
              <m:r>
                <m:rPr>
                  <m:sty m:val="p"/>
                </m:rPr>
                <m:t>+</m:t>
              </m:r>
              <m:r>
                <m:t>1</m:t>
              </m:r>
            </m:sub>
          </m:sSub>
          <m:r>
            <m:rPr>
              <m:sty m:val="p"/>
            </m:rPr>
            <m:t>=</m:t>
          </m:r>
          <m:r>
            <m:t>π</m:t>
          </m:r>
          <m:r>
            <m:rPr>
              <m:sty m:val="p"/>
            </m:rPr>
            <m:t>(</m:t>
          </m:r>
          <m:sSubSup>
            <m:e>
              <m:r>
                <m:t>E</m:t>
              </m:r>
            </m:e>
            <m:sub>
              <m:r>
                <m:t>i</m:t>
              </m:r>
              <m:r>
                <m:rPr>
                  <m:sty m:val="p"/>
                </m:rPr>
                <m:t>,</m:t>
              </m:r>
              <m:r>
                <m:t>s</m:t>
              </m:r>
              <m:r>
                <m:rPr>
                  <m:sty m:val="p"/>
                </m:rPr>
                <m:t>,</m:t>
              </m:r>
              <m:r>
                <m:t>1</m:t>
              </m:r>
              <m:r>
                <m:rPr>
                  <m:sty m:val="p"/>
                </m:rPr>
                <m:t>:</m:t>
              </m:r>
              <m:r>
                <m:t>j</m:t>
              </m:r>
            </m:sub>
            <m:sup>
              <m:r>
                <m:rPr>
                  <m:sty m:val="p"/>
                </m:rPr>
                <m:t>u</m:t>
              </m:r>
              <m:r>
                <m:rPr>
                  <m:sty m:val="p"/>
                </m:rPr>
                <m:t>n</m:t>
              </m:r>
              <m:r>
                <m:rPr>
                  <m:sty m:val="p"/>
                </m:rPr>
                <m:t>a</m:t>
              </m:r>
              <m:r>
                <m:rPr>
                  <m:sty m:val="p"/>
                </m:rPr>
                <m:t>i</m:t>
              </m:r>
              <m:r>
                <m:rPr>
                  <m:sty m:val="p"/>
                </m:rPr>
                <m:t>d</m:t>
              </m:r>
              <m:r>
                <m:rPr>
                  <m:sty m:val="p"/>
                </m:rPr>
                <m:t>e</m:t>
              </m:r>
              <m:r>
                <m:rPr>
                  <m:sty m:val="p"/>
                </m:rPr>
                <m:t>d</m:t>
              </m:r>
            </m:sup>
          </m:sSubSup>
          <m:r>
            <m:rPr>
              <m:sty m:val="p"/>
            </m:rPr>
            <m:t>,</m:t>
          </m:r>
          <m:sSub>
            <m:e>
              <m:r>
                <m:t>H</m:t>
              </m:r>
            </m:e>
            <m:sub>
              <m:r>
                <m:t>i</m:t>
              </m:r>
              <m:r>
                <m:rPr>
                  <m:sty m:val="p"/>
                </m:rPr>
                <m:t>,</m:t>
              </m:r>
              <m:r>
                <m:t>s</m:t>
              </m:r>
            </m:sub>
          </m:sSub>
          <m:r>
            <m:rPr>
              <m:sty m:val="p"/>
            </m:rPr>
            <m:t>,</m:t>
          </m:r>
          <m:sSub>
            <m:e>
              <m:r>
                <m:t>G</m:t>
              </m:r>
            </m:e>
            <m:sub>
              <m:r>
                <m:t>i</m:t>
              </m:r>
              <m:r>
                <m:rPr>
                  <m:sty m:val="p"/>
                </m:rPr>
                <m:t>,</m:t>
              </m:r>
              <m:r>
                <m:t>s</m:t>
              </m:r>
            </m:sub>
          </m:sSub>
          <m:r>
            <m:rPr>
              <m:sty m:val="p"/>
            </m:rPr>
            <m:t>,</m:t>
          </m:r>
          <m:sSub>
            <m:e>
              <m:r>
                <m:t>P</m:t>
              </m:r>
            </m:e>
            <m:sub>
              <m:r>
                <m:t>i</m:t>
              </m:r>
              <m:r>
                <m:rPr>
                  <m:sty m:val="p"/>
                </m:rPr>
                <m:t>,</m:t>
              </m:r>
              <m:r>
                <m:t>s</m:t>
              </m:r>
            </m:sub>
          </m:sSub>
          <m:r>
            <m:rPr>
              <m:sty m:val="p"/>
            </m:rPr>
            <m:t>;</m:t>
          </m:r>
          <m:r>
            <m:t>θ</m:t>
          </m:r>
          <m:r>
            <m:rPr>
              <m:sty m:val="p"/>
            </m:rPr>
            <m:t>)</m:t>
          </m:r>
          <m:r>
            <m:rPr>
              <m:sty m:val="p"/>
            </m:rPr>
            <m:t>,</m:t>
          </m:r>
        </m:oMath>
      </m:oMathPara>
    </w:p>
    <w:p>
      <w:pPr>
        <w:pStyle w:val="FirstParagraph"/>
      </w:pPr>
      <w:r>
        <w:rPr>
          <w:rFonts w:hint="eastAsia"/>
        </w:rPr>
        <w:t xml:space="preserve">其中</w:t>
      </w:r>
      <w:r>
        <w:t xml:space="preserve"> </w:t>
      </w:r>
      <m:oMath>
        <m:r>
          <m:t>s</m:t>
        </m:r>
      </m:oMath>
      <w:r>
        <w:t xml:space="preserve"> </w:t>
      </w:r>
      <w:r>
        <w:rPr>
          <w:rFonts w:hint="eastAsia"/>
        </w:rPr>
        <w:t xml:space="preserve">表示会话、</w:t>
      </w:r>
      <m:oMath>
        <m:r>
          <m:t>j</m:t>
        </m:r>
      </m:oMath>
      <w:r>
        <w:t xml:space="preserve"> </w:t>
      </w:r>
      <w:r>
        <w:rPr>
          <w:rFonts w:hint="eastAsia"/>
        </w:rPr>
        <w:t xml:space="preserve">表示该会话中的练习机会，</w:t>
      </w:r>
      <m:oMath>
        <m:sSub>
          <m:e>
            <m:r>
              <m:t>H</m:t>
            </m:r>
          </m:e>
          <m:sub>
            <m:r>
              <m:t>i</m:t>
            </m:r>
            <m:r>
              <m:rPr>
                <m:sty m:val="p"/>
              </m:rPr>
              <m:t>,</m:t>
            </m:r>
            <m:r>
              <m:t>s</m:t>
            </m:r>
          </m:sub>
        </m:sSub>
      </m:oMath>
      <w:r>
        <w:t xml:space="preserve"> </w:t>
      </w:r>
      <w:r>
        <w:rPr>
          <w:rFonts w:hint="eastAsia"/>
        </w:rPr>
        <w:t xml:space="preserve">是可继承的有效历史；连续性关闭时</w:t>
      </w:r>
      <w:r>
        <w:t xml:space="preserve"> </w:t>
      </w:r>
      <m:oMath>
        <m:sSub>
          <m:e>
            <m:r>
              <m:t>H</m:t>
            </m:r>
          </m:e>
          <m:sub>
            <m:r>
              <m:t>i</m:t>
            </m:r>
            <m:r>
              <m:rPr>
                <m:sty m:val="p"/>
              </m:rPr>
              <m:t>,</m:t>
            </m:r>
            <m:r>
              <m:t>s</m:t>
            </m:r>
          </m:sub>
        </m:sSub>
        <m:r>
          <m:rPr>
            <m:sty m:val="p"/>
          </m:rPr>
          <m:t>=</m:t>
        </m:r>
        <m:r>
          <m:rPr>
            <m:sty m:val="p"/>
          </m:rPr>
          <m:t>⌀</m:t>
        </m:r>
      </m:oMath>
      <w:r>
        <w:rPr>
          <w:rFonts w:hint="eastAsia"/>
        </w:rPr>
        <w:t xml:space="preserve">，但本会话的</w:t>
      </w:r>
      <w:r>
        <w:t xml:space="preserve"> </w:t>
      </w:r>
      <m:oMath>
        <m:sSubSup>
          <m:e>
            <m:r>
              <m:t>E</m:t>
            </m:r>
          </m:e>
          <m:sub>
            <m:r>
              <m:t>i</m:t>
            </m:r>
            <m:r>
              <m:rPr>
                <m:sty m:val="p"/>
              </m:rPr>
              <m:t>,</m:t>
            </m:r>
            <m:r>
              <m:t>s</m:t>
            </m:r>
            <m:r>
              <m:rPr>
                <m:sty m:val="p"/>
              </m:rPr>
              <m:t>,</m:t>
            </m:r>
            <m:r>
              <m:t>1</m:t>
            </m:r>
            <m:r>
              <m:rPr>
                <m:sty m:val="p"/>
              </m:rPr>
              <m:t>:</m:t>
            </m:r>
            <m:r>
              <m:t>j</m:t>
            </m:r>
          </m:sub>
          <m:sup>
            <m:r>
              <m:rPr>
                <m:sty m:val="p"/>
              </m:rPr>
              <m:t>u</m:t>
            </m:r>
            <m:r>
              <m:rPr>
                <m:sty m:val="p"/>
              </m:rPr>
              <m:t>n</m:t>
            </m:r>
            <m:r>
              <m:rPr>
                <m:sty m:val="p"/>
              </m:rPr>
              <m:t>a</m:t>
            </m:r>
            <m:r>
              <m:rPr>
                <m:sty m:val="p"/>
              </m:rPr>
              <m:t>i</m:t>
            </m:r>
            <m:r>
              <m:rPr>
                <m:sty m:val="p"/>
              </m:rPr>
              <m:t>d</m:t>
            </m:r>
            <m:r>
              <m:rPr>
                <m:sty m:val="p"/>
              </m:rPr>
              <m:t>e</m:t>
            </m:r>
            <m:r>
              <m:rPr>
                <m:sty m:val="p"/>
              </m:rPr>
              <m:t>d</m:t>
            </m:r>
          </m:sup>
        </m:sSubSup>
      </m:oMath>
      <w:r>
        <w:t xml:space="preserve"> </w:t>
      </w:r>
      <w:r>
        <w:rPr>
          <w:rFonts w:hint="eastAsia"/>
        </w:rPr>
        <w:t xml:space="preserve">仍可触发下一练习的调整。</w:t>
      </w:r>
      <m:oMath>
        <m:r>
          <m:t>π</m:t>
        </m:r>
      </m:oMath>
      <w:r>
        <w:t xml:space="preserve"> </w:t>
      </w:r>
      <w:r>
        <w:rPr>
          <w:rFonts w:hint="eastAsia"/>
        </w:rPr>
        <w:t xml:space="preserve">是事先固定的规则，</w:t>
      </w:r>
      <m:oMath>
        <m:r>
          <m:t>θ</m:t>
        </m:r>
      </m:oMath>
      <w:r>
        <w:t xml:space="preserve"> </w:t>
      </w:r>
      <w:r>
        <w:rPr>
          <w:rFonts w:hint="eastAsia"/>
        </w:rPr>
        <w:t xml:space="preserve">为阈值。没有独立表现证据时不因聊天次数增加而自动减助。学习者始终可以请求具体提示、改变呈现方式或转由教师处理。请求帮助只是新的观察，不自动触发能力下调。发生持续困难时优先检查题目、说明和任务负担，而不是归因于学习者态度。</w:t>
      </w:r>
    </w:p>
    <w:bookmarkEnd w:id="31"/>
    <w:bookmarkStart w:id="32" w:name="把决定权和责任说清楚"/>
    <w:p>
      <w:pPr>
        <w:pStyle w:val="Heading3"/>
      </w:pPr>
      <w:r>
        <w:t xml:space="preserve">4.4 </w:t>
      </w:r>
      <w:r>
        <w:rPr>
          <w:rFonts w:hint="eastAsia"/>
        </w:rPr>
        <w:t xml:space="preserve">把决定权和责任说清楚</w:t>
      </w:r>
    </w:p>
    <w:p>
      <w:pPr>
        <w:pStyle w:val="FirstParagraph"/>
      </w:pPr>
      <w:r>
        <w:rPr>
          <w:rFonts w:hint="eastAsia"/>
        </w:rPr>
        <w:t xml:space="preserve">每次会话给学习者两至三个有意义且负担可控的选项，例如先做新题、看一个示范或解释上一题的思路。系统说明选择可能带来的练习机会，不以连续签到、失去积分或关系性语言迫使继续。教师可以建议，但应记录是否为教学要求而非学习者自主选择。</w:t>
      </w:r>
    </w:p>
    <w:p>
      <w:pPr>
        <w:pStyle w:val="BodyText"/>
      </w:pPr>
      <w:r>
        <w:rPr>
          <w:rFonts w:hint="eastAsia"/>
        </w:rPr>
        <w:t xml:space="preserve">自主性观察采用任务行为和短访谈相互印证：能否说明目标，能否选择并解释策略，遇到困难时能否判断何时求助，以及发现错误后能否调整。点击次数、对话量和独自停留时长只作过程信息。合理求助可能是自主学习的一部分，不设“越少越好”的单向指标。</w:t>
      </w:r>
    </w:p>
    <w:p>
      <w:pPr>
        <w:pStyle w:val="BodyText"/>
      </w:pPr>
      <w:r>
        <w:rPr>
          <w:rFonts w:hint="eastAsia"/>
        </w:rPr>
        <w:t xml:space="preserve">教师负责审查课程内容、处理评分争议、安排补救及关注学习负担。家长或其他成人在未成年人情境中承担支持和风险处理责任，不把监督要求转移给儿童。系统不诊断心理状态，不依据文字表现决定学生升学或重要成绩。</w:t>
      </w:r>
    </w:p>
    <w:bookmarkEnd w:id="32"/>
    <w:bookmarkStart w:id="33" w:name="会话结束与跨会话记录"/>
    <w:p>
      <w:pPr>
        <w:pStyle w:val="Heading3"/>
      </w:pPr>
      <w:r>
        <w:t xml:space="preserve">4.5 </w:t>
      </w:r>
      <w:r>
        <w:rPr>
          <w:rFonts w:hint="eastAsia"/>
        </w:rPr>
        <w:t xml:space="preserve">会话结束与跨会话记录</w:t>
      </w:r>
    </w:p>
    <w:p>
      <w:pPr>
        <w:pStyle w:val="FirstParagraph"/>
      </w:pPr>
      <w:r>
        <w:rPr>
          <w:rFonts w:hint="eastAsia"/>
        </w:rPr>
        <w:t xml:space="preserve">会话结束时分别呈现“独立完成了什么”“在帮助下完成了什么”“下次可以选择什么”。学习者可以补充或纠正，教师看到与教学相关的简短摘要。系统保存必要的目标和表现证据，不默认永久保存自由对话、家庭信息或可识别身份。</w:t>
      </w:r>
    </w:p>
    <w:p>
      <w:pPr>
        <w:pStyle w:val="BodyText"/>
      </w:pPr>
      <w:r>
        <w:rPr>
          <w:rFonts w:hint="eastAsia"/>
        </w:rPr>
        <w:t xml:space="preserve">如果目标发生改变，旧表现仍作为历史保留，但不自动证明新目标已经完成。例如，从识别平均数改为评价一份真实报告，需要新的应用证据。长期协作的记录价值在于减少重复说明，并清楚指出尚未确认的部分；是否因此改善学习，仍由延迟测验回答。</w:t>
      </w:r>
    </w:p>
    <w:bookmarkEnd w:id="33"/>
    <w:bookmarkEnd w:id="34"/>
    <w:bookmarkStart w:id="35" w:name="说明性案例与机制边界"/>
    <w:p>
      <w:pPr>
        <w:pStyle w:val="Heading2"/>
      </w:pPr>
      <w:r>
        <w:t xml:space="preserve">5 </w:t>
      </w:r>
      <w:r>
        <w:rPr>
          <w:rFonts w:hint="eastAsia"/>
        </w:rPr>
        <w:t xml:space="preserve">说明性案例与机制边界</w:t>
      </w:r>
    </w:p>
    <w:p>
      <w:pPr>
        <w:pStyle w:val="FirstParagraph"/>
      </w:pPr>
      <w:r>
        <w:rPr>
          <w:rFonts w:hint="eastAsia"/>
        </w:rPr>
        <w:t xml:space="preserve">以下为构造案例，不是实际学生记录。学习者第一次比较两组收入数据时只计算平均数。系统先给出含极端值的示范，并引导说明中位数的含义。第二次会话中，学习者独立完成新例题，但解释仍混淆“典型值”和“总量”。记录因此保留部分成功，同时维持策略提示。</w:t>
      </w:r>
    </w:p>
    <w:p>
      <w:pPr>
        <w:pStyle w:val="BodyText"/>
      </w:pPr>
      <w:r>
        <w:rPr>
          <w:rFonts w:hint="eastAsia"/>
        </w:rPr>
        <w:t xml:space="preserve">第三次会话，学习者在另一类数据上解释正确，系统核对是否已有两项适用的独立表现证据，而非因一次流利回答立即撤去帮助。之后尝试新的公共交通等待时间情境时出错，可以请求恢复提示。四周后的正式迁移测验换成未见过的数据情境，且无人工智能可用；这个结果才进入主要终点。</w:t>
      </w:r>
    </w:p>
    <w:p>
      <w:pPr>
        <w:pStyle w:val="BodyText"/>
      </w:pPr>
      <w:r>
        <w:rPr>
          <w:rFonts w:hint="eastAsia"/>
        </w:rPr>
        <w:t xml:space="preserve">案例可说明流程，却不能证明最佳帮助强度，也不能证明错误减少的原因。观察到“先减助、后成绩上升”仍可能由熟悉题目、教师辅导或学习时间增加造成。因果判断需要随机对照和相同测量安排。</w:t>
      </w:r>
    </w:p>
    <w:p>
      <w:pPr>
        <w:pStyle w:val="BodyText"/>
      </w:pPr>
      <w:r>
        <w:rPr>
          <w:rFonts w:hint="eastAsia"/>
        </w:rPr>
        <w:t xml:space="preserve">在实现正确、独立表现标签可靠、所有路径均执行协议的条件下，可以验证“系统不会仅因提示后答对而减少帮助”这一程序约束。它不推出学习成效。若评分器错误地把抄录答案判为独立理解，该约束的前提已经失效。模拟学生可以暴露此类逻辑漏洞，但无法代替真实学习者的认知、情感和退出行为。</w:t>
      </w:r>
    </w:p>
    <w:bookmarkEnd w:id="35"/>
    <w:bookmarkStart w:id="43" w:name="成人先行的研究设计"/>
    <w:p>
      <w:pPr>
        <w:pStyle w:val="Heading2"/>
      </w:pPr>
      <w:r>
        <w:t xml:space="preserve">6 </w:t>
      </w:r>
      <w:r>
        <w:rPr>
          <w:rFonts w:hint="eastAsia"/>
        </w:rPr>
        <w:t xml:space="preserve">成人先行的研究设计</w:t>
      </w:r>
    </w:p>
    <w:bookmarkStart w:id="36" w:name="阶段与研究对象"/>
    <w:p>
      <w:pPr>
        <w:pStyle w:val="Heading3"/>
      </w:pPr>
      <w:r>
        <w:t xml:space="preserve">6.1 </w:t>
      </w:r>
      <w:r>
        <w:rPr>
          <w:rFonts w:hint="eastAsia"/>
        </w:rPr>
        <w:t xml:space="preserve">阶段与研究对象</w:t>
      </w:r>
    </w:p>
    <w:p>
      <w:pPr>
        <w:pStyle w:val="FirstParagraph"/>
      </w:pPr>
      <w:r>
        <w:rPr>
          <w:rFonts w:hint="eastAsia"/>
        </w:rPr>
        <w:t xml:space="preserve">阶段一使用虚构记录、研究人员脚本和模拟学生测试目标修订、提示恢复、权限与数据删除，结果只报告系统是否按协议运行。阶段二计划招募约</w:t>
      </w:r>
      <w:r>
        <w:t xml:space="preserve"> 24 </w:t>
      </w:r>
      <w:r>
        <w:rPr>
          <w:rFonts w:hint="eastAsia"/>
        </w:rPr>
        <w:t xml:space="preserve">名自愿成年学习者开展两周可行性研究，检查题目难度、评分一致性、操作理解和负担。人数用于发现流程问题，不用于证明学习优势。</w:t>
      </w:r>
    </w:p>
    <w:p>
      <w:pPr>
        <w:pStyle w:val="BodyText"/>
      </w:pPr>
      <w:r>
        <w:rPr>
          <w:rFonts w:hint="eastAsia"/>
        </w:rPr>
        <w:t xml:space="preserve">阶段三拟在成人数据素养入门课程中实施八周干预，每周两次、每次四十分钟，覆盖描述统计、图表解释、抽样与证据判断。第零周前测，第八周即时后测，第十二周无人工智能延迟迁移测验。两至三个月的观察只支持该时段结论，不称为终身学习能力增长。</w:t>
      </w:r>
    </w:p>
    <w:p>
      <w:pPr>
        <w:pStyle w:val="BodyText"/>
      </w:pPr>
      <w:r>
        <w:rPr>
          <w:rFonts w:hint="eastAsia"/>
        </w:rPr>
        <w:t xml:space="preserve">即使成年试点表现良好，也不自动扩展至未成年人。儿童研究需要另行制定适龄材料、教师支持和停止规则，并完成独立伦理审查及必要同意程序。成人数据只用于成人结论。</w:t>
      </w:r>
    </w:p>
    <w:bookmarkEnd w:id="36"/>
    <w:bookmarkStart w:id="37" w:name="因素设计与主动对照"/>
    <w:p>
      <w:pPr>
        <w:pStyle w:val="Heading3"/>
      </w:pPr>
      <w:r>
        <w:t xml:space="preserve">6.2 </w:t>
      </w:r>
      <w:r>
        <w:rPr>
          <w:rFonts w:hint="eastAsia"/>
        </w:rPr>
        <w:t xml:space="preserve">因素设计与主动对照</w:t>
      </w:r>
    </w:p>
    <w:p>
      <w:pPr>
        <w:pStyle w:val="FirstParagraph"/>
      </w:pPr>
      <w:r>
        <w:rPr>
          <w:rFonts w:hint="eastAsia"/>
        </w:rPr>
        <w:t xml:space="preserve">四个人工智能组构成二乘二设计。因素一是目标连续性：保留经确认的跨会话目标和独立表现，或仅使用当前会话信息。因素二是帮助策略：依据独立表现渐隐，或提供固定的帮助菜单。固定菜单组仍允许学习者自主选择和正常求助，不故意给予低质量反馈。非连续性组每次会话使用相同的初始诊断和帮助起点，并可在本会话内调整；连续性组可继承有效证据与帮助状态。因而该因素比较的是一组跨会话连续性功能，不能把其效果进一步归因于某一个记录字段。各组共享题库、模型、元认知提示、短检查和教师支持规范。正式试验保持单元知识目标和题目难度分布一致，学习者在同一目标内选择策略和呈现方式；不额外引入自适应难度算法，以免同时改变多种机制。</w:t>
      </w:r>
    </w:p>
    <w:p>
      <w:pPr>
        <w:pStyle w:val="BodyText"/>
      </w:pPr>
      <w:r>
        <w:rPr>
          <w:rFonts w:hint="eastAsia"/>
        </w:rPr>
        <w:t xml:space="preserve">另设非人工智能主动对照组，使用相同课程内容、例题、纸面或数字化目标单、分级提示材料及教师答疑。它用于判断新增系统是否值得投入，不是排除任何有效教学的空白对照。所有组都可获得标准教学和补救资源。</w:t>
      </w:r>
    </w:p>
    <w:p>
      <w:pPr>
        <w:pStyle w:val="BodyText"/>
      </w:pPr>
      <w:r>
        <w:rPr>
          <w:rFonts w:hint="eastAsia"/>
        </w:rPr>
        <w:t xml:space="preserve">主要预注册比较为完整组与连续性加固定帮助组，检验渐隐机制在保留目标条件下的增量。其余预设比较估计连续性主效应、渐隐主效应和交互。与非人工智能组的差异作为另一个明确登记的比较，进行多重比较控制。该组同样有目标单和分级提示，比较的是完整交付方式的效果与成本，不能把差异全部归于基础模型本身。若资源不足，不临时删除表现较强的对照，而缩小为可行性研究。</w:t>
      </w:r>
    </w:p>
    <w:bookmarkEnd w:id="37"/>
    <w:bookmarkStart w:id="38" w:name="随机教师和同伴影响"/>
    <w:p>
      <w:pPr>
        <w:pStyle w:val="Heading3"/>
      </w:pPr>
      <w:r>
        <w:t xml:space="preserve">6.3 </w:t>
      </w:r>
      <w:r>
        <w:rPr>
          <w:rFonts w:hint="eastAsia"/>
        </w:rPr>
        <w:t xml:space="preserve">随机、教师和同伴影响</w:t>
      </w:r>
    </w:p>
    <w:p>
      <w:pPr>
        <w:pStyle w:val="FirstParagraph"/>
      </w:pPr>
      <w:r>
        <w:rPr>
          <w:rFonts w:hint="eastAsia"/>
        </w:rPr>
        <w:t xml:space="preserve">计划按完整教学小组或班级随机，避免同班学生交换系统策略。以教学机构、教师和班级平均前测分层或配对，再由独立人员分配条件。教师尽可能教授多个条件并使用相同教案，记录培训、答疑和额外辅导时间。若教师只能对应单一条件，教师与方法将混淆，需增加教师并重新设计，不能通过简单统计“控制”消除完全重合。</w:t>
      </w:r>
    </w:p>
    <w:p>
      <w:pPr>
        <w:pStyle w:val="BodyText"/>
      </w:pPr>
      <w:r>
        <w:rPr>
          <w:rFonts w:hint="eastAsia"/>
        </w:rPr>
        <w:t xml:space="preserve">初始资源估算为每组八个班级、每班约二十名成人，共约八百人。该数字不是已招募样本，也不是保证充分检验效能的结论。正式规模根据先导数据的班内相关、前测解释度、预期退出和最小教育重要差异进行仿真确定。班级数不足时，更多同班学生不能完全替代更多独立班级，尤其不能据此强判交互作用。</w:t>
      </w:r>
    </w:p>
    <w:p>
      <w:pPr>
        <w:pStyle w:val="BodyText"/>
      </w:pPr>
      <w:r>
        <w:rPr>
          <w:rFonts w:hint="eastAsia"/>
        </w:rPr>
        <w:t xml:space="preserve">跨组使用其他人工智能、同伴共享提示与教师临时调整均记录为实施信息。主要分析按最初分配条件进行，不因学生实际使用较少而把其剔除。依从方案分析可补充，但不替代主要估计。</w:t>
      </w:r>
    </w:p>
    <w:bookmarkEnd w:id="38"/>
    <w:bookmarkStart w:id="39" w:name="时间和资源控制"/>
    <w:p>
      <w:pPr>
        <w:pStyle w:val="Heading3"/>
      </w:pPr>
      <w:r>
        <w:t xml:space="preserve">6.4 </w:t>
      </w:r>
      <w:r>
        <w:rPr>
          <w:rFonts w:hint="eastAsia"/>
        </w:rPr>
        <w:t xml:space="preserve">时间和资源控制</w:t>
      </w:r>
    </w:p>
    <w:p>
      <w:pPr>
        <w:pStyle w:val="FirstParagraph"/>
      </w:pPr>
      <w:r>
        <w:rPr>
          <w:rFonts w:hint="eastAsia"/>
        </w:rPr>
        <w:t xml:space="preserve">八周内各组学习时长、题目机会、短检查次数和教师可用答疑时间相同，课外练习要求统一。逐题记录实际时间，区分系统故障、等待和学习活动。不能为完整组额外安排复习而仍宣称机制比较公平。</w:t>
      </w:r>
    </w:p>
    <w:p>
      <w:pPr>
        <w:pStyle w:val="BodyText"/>
      </w:pPr>
      <w:r>
        <w:rPr>
          <w:rFonts w:hint="eastAsia"/>
        </w:rPr>
        <w:t xml:space="preserve">人工智能组固定模型和版本、上下文总量及调用预算。连续记录占用更多上下文时，该开销纳入成本；必要时补充等费用限制的敏感性比较。主要教育比较以等教学时间与等内容机会为基础，不能为严格匹配令某组等待空转。非人工智能资源按材料准备、教师培训和答疑时间核算，分别报告学生时间与提供方成本。</w:t>
      </w:r>
    </w:p>
    <w:bookmarkEnd w:id="39"/>
    <w:bookmarkStart w:id="40" w:name="结果测量"/>
    <w:p>
      <w:pPr>
        <w:pStyle w:val="Heading3"/>
      </w:pPr>
      <w:r>
        <w:t xml:space="preserve">6.5 </w:t>
      </w:r>
      <w:r>
        <w:rPr>
          <w:rFonts w:hint="eastAsia"/>
        </w:rPr>
        <w:t xml:space="preserve">结果测量</w:t>
      </w:r>
    </w:p>
    <w:p>
      <w:pPr>
        <w:pStyle w:val="FirstParagraph"/>
      </w:pPr>
      <w:r>
        <w:rPr>
          <w:rFonts w:hint="eastAsia"/>
        </w:rPr>
        <w:t xml:space="preserve">主要终点为四周延迟无帮助迁移总分，由预先固定权重的近迁移和较远迁移题组成。近迁移改变题面和数值，较远迁移改变应用情境并要求选择合适方法。权重初定各半，正式研究前由独立课程专家审核并冻结。试卷不由教学模型临时生成，答案和评分规则在试验前封存，测试内容不进入系统上下文。</w:t>
      </w:r>
    </w:p>
    <w:p>
      <w:pPr>
        <w:pStyle w:val="BodyText"/>
      </w:pPr>
      <w:r>
        <w:rPr>
          <w:rFonts w:hint="eastAsia"/>
        </w:rPr>
        <w:t xml:space="preserve">前测、即时后测和延迟测验使用平行卷，控制题目难度和重复暴露。无人工智能环境以监考或受控终端实现，同时保持合理无障碍安排。评分者不知道组别，开放答案双人评分并仲裁，报告一致性。参与者不能被完全盲化，应对各组采用中性介绍和相似期待管理。</w:t>
      </w:r>
    </w:p>
    <w:p>
      <w:pPr>
        <w:pStyle w:val="BodyText"/>
      </w:pPr>
      <w:r>
        <w:rPr>
          <w:rFonts w:hint="eastAsia"/>
        </w:rPr>
        <w:t xml:space="preserve">次要结果包括即时学习成绩、知识保持、独立策略选择、合理求助、目标解释与教师负担。满意度、归属感和使用偏好分别报告，不与成绩合成一个总“效果分”。自主行为的量表和访谈方案在试点中验证可理解性，不以未经验证的模型情绪评分代替学生体验。</w:t>
      </w:r>
    </w:p>
    <w:bookmarkEnd w:id="40"/>
    <w:bookmarkStart w:id="41" w:name="统计缺失与退出"/>
    <w:p>
      <w:pPr>
        <w:pStyle w:val="Heading3"/>
      </w:pPr>
      <w:r>
        <w:t xml:space="preserve">6.6 </w:t>
      </w:r>
      <w:r>
        <w:rPr>
          <w:rFonts w:hint="eastAsia"/>
        </w:rPr>
        <w:t xml:space="preserve">统计、缺失与退出</w:t>
      </w:r>
    </w:p>
    <w:p>
      <w:pPr>
        <w:pStyle w:val="FirstParagraph"/>
      </w:pPr>
      <w:r>
        <w:rPr>
          <w:rFonts w:hint="eastAsia"/>
        </w:rPr>
        <w:t xml:space="preserve">主要分析以延迟成绩为结果，纳入前测与预先规定的分层因素，建模学生、班级和教师层级。若教师跨班授课，采用适配交叉结构的模型；标准误至少尊重班级随机单位。报告原始分数差、标准化效应和置信区间，不只给显著与否。班级较少时补充基于实际随机方案的检验和小样本修正，并收窄推断。</w:t>
      </w:r>
    </w:p>
    <w:p>
      <w:pPr>
        <w:pStyle w:val="BodyText"/>
      </w:pPr>
      <w:r>
        <w:rPr>
          <w:rFonts w:hint="eastAsia"/>
        </w:rPr>
        <w:t xml:space="preserve">即时与延迟比较使用预定的重复测量模型，不把每道题或每次对话当独立被试。主要比较、交互和次要指标分层登记并控制多重比较。按前测水平进行的亚组分析事先限定，探索性发现明确标注，避免把零散显著差异写成适用人群指南。</w:t>
      </w:r>
    </w:p>
    <w:p>
      <w:pPr>
        <w:pStyle w:val="BodyText"/>
      </w:pPr>
      <w:r>
        <w:rPr>
          <w:rFonts w:hint="eastAsia"/>
        </w:rPr>
        <w:t xml:space="preserve">退出者仍按已同意的范围邀请完成后测，不把退出课程等同于退出数据研究，也不强求继续。记录各组缺失比例、原因和时间。主要分析使用与数据层级一致的多重插补或似然方法并说明可忽略缺失假设，另做缺失者比预测更差的偏移敏感性分析和临界点分析。完整案例结果仅作补充，不能以留下来的高参与学生代表所有被分配者。</w:t>
      </w:r>
    </w:p>
    <w:bookmarkEnd w:id="41"/>
    <w:bookmarkStart w:id="42" w:name="过程分析与解释边界"/>
    <w:p>
      <w:pPr>
        <w:pStyle w:val="Heading3"/>
      </w:pPr>
      <w:r>
        <w:t xml:space="preserve">6.7 </w:t>
      </w:r>
      <w:r>
        <w:rPr>
          <w:rFonts w:hint="eastAsia"/>
        </w:rPr>
        <w:t xml:space="preserve">过程分析与解释边界</w:t>
      </w:r>
    </w:p>
    <w:p>
      <w:pPr>
        <w:pStyle w:val="FirstParagraph"/>
      </w:pPr>
      <w:r>
        <w:rPr>
          <w:rFonts w:hint="eastAsia"/>
        </w:rPr>
        <w:t xml:space="preserve">过程数据用于确认干预实际实施，例如目标是否被错误覆盖、帮助是否按规则调整、求助是否获得回应、教师是否增加额外讲解。只有先确认组间真实存在设计中的差异，才能解释成绩差异。系统未实施预定策略时，应报告实施失败，而非直接推断教学机制无效。</w:t>
      </w:r>
    </w:p>
    <w:p>
      <w:pPr>
        <w:pStyle w:val="BodyText"/>
      </w:pPr>
      <w:r>
        <w:rPr>
          <w:rFonts w:hint="eastAsia"/>
        </w:rPr>
        <w:t xml:space="preserve">练习量、提示量和参与度都可能由干预改变，属于随机分配之后发生的变量。把它们直接放入主模型当控制变量，可能改变所估计的问题。因此，主要分析估计分配策略的总效果；关于中介机制的分析单列为探索性，并明确其额外因果假设。使用时间与成绩相关不能证明多用系统导致学习提高。</w:t>
      </w:r>
    </w:p>
    <w:bookmarkEnd w:id="42"/>
    <w:bookmarkEnd w:id="43"/>
    <w:bookmarkStart w:id="44" w:name="伦理隐私与成人责任"/>
    <w:p>
      <w:pPr>
        <w:pStyle w:val="Heading2"/>
      </w:pPr>
      <w:r>
        <w:t xml:space="preserve">7 </w:t>
      </w:r>
      <w:r>
        <w:rPr>
          <w:rFonts w:hint="eastAsia"/>
        </w:rPr>
        <w:t xml:space="preserve">伦理、隐私与成人责任</w:t>
      </w:r>
    </w:p>
    <w:p>
      <w:pPr>
        <w:pStyle w:val="FirstParagraph"/>
      </w:pPr>
      <w:r>
        <w:rPr>
          <w:rFonts w:hint="eastAsia"/>
        </w:rPr>
        <w:t xml:space="preserve">本研究尚未开始招募。拟成人研究需在开展前完成适用的伦理审查和知情同意，确保拒绝参与或退出不影响课程成绩、服务和关系。招募及同意过程尽量由不掌握学生成绩决定权的人员组织。明确系统可能出错，提供教师联系和补救渠道，报酬不与持续使用或成绩提升绑定。</w:t>
      </w:r>
    </w:p>
    <w:p>
      <w:pPr>
        <w:pStyle w:val="BodyText"/>
      </w:pPr>
      <w:r>
        <w:rPr>
          <w:rFonts w:hint="eastAsia"/>
        </w:rPr>
        <w:t xml:space="preserve">未来若研究未成年人，应另行审查发展适配性，并在监护人必要同意之外获得儿童能够理解、持续表达的参与意愿。儿童拒绝或表示不适时应被认真处理，不能只因成年人同意而要求继续。具体法律及机构要求须由当地负责机构在招募前核验，本稿不声称已完成合规认证。</w:t>
      </w:r>
    </w:p>
    <w:p>
      <w:pPr>
        <w:pStyle w:val="BodyText"/>
      </w:pPr>
      <w:r>
        <w:rPr>
          <w:rFonts w:hint="eastAsia"/>
        </w:rPr>
        <w:t xml:space="preserve">记录以学习目标、必要作答和帮助历史为主，身份映射分开保存、限制访问，明确保留期限和删除流程。教师与监护人只获得履行教学责任所需的信息，不能默认查看全部私人对话。研究用途、产品用途和模型训练用途分别说明，研究参与不等于授权将儿童数据用于模型训练。</w:t>
      </w:r>
    </w:p>
    <w:p>
      <w:pPr>
        <w:pStyle w:val="BodyText"/>
      </w:pPr>
      <w:r>
        <w:rPr>
          <w:rFonts w:hint="eastAsia"/>
        </w:rPr>
        <w:t xml:space="preserve">发生持续挫败、错误知识反复输出、越过隐私边界或不可用时，暂停相关系统环节并提供等价学习支持。严重事件由独立负责人审阅，必要时暂停整个试验。安全处置优先于维持实验完整性，同时如实记录其对估计的影响。成人承担题目质量、系统运行和异常处理责任，学习者不承担证明系统可靠的义务。</w:t>
      </w:r>
    </w:p>
    <w:bookmarkEnd w:id="44"/>
    <w:bookmarkStart w:id="45" w:name="预期分析局限与结论"/>
    <w:p>
      <w:pPr>
        <w:pStyle w:val="Heading2"/>
      </w:pPr>
      <w:r>
        <w:t xml:space="preserve">8 </w:t>
      </w:r>
      <w:r>
        <w:rPr>
          <w:rFonts w:hint="eastAsia"/>
        </w:rPr>
        <w:t xml:space="preserve">预期分析、局限与结论</w:t>
      </w:r>
    </w:p>
    <w:p>
      <w:pPr>
        <w:pStyle w:val="FirstParagraph"/>
      </w:pPr>
      <w:r>
        <w:rPr>
          <w:rFonts w:hint="eastAsia"/>
        </w:rPr>
        <w:t xml:space="preserve">当前没有结果可供解释。若完整组只在练习时更快，却在延迟迁移上无差异，应报告便利性而非学习增强。若迁移提高但退出和负担明显增加，应呈现两者的权衡。若固定帮助组同样有效，渐隐机制的必要性就缺乏支持；若非人工智能组达到相同结果且成本更低，应保留该替代方案。</w:t>
      </w:r>
    </w:p>
    <w:p>
      <w:pPr>
        <w:pStyle w:val="BodyText"/>
      </w:pPr>
      <w:r>
        <w:rPr>
          <w:rFonts w:hint="eastAsia"/>
        </w:rPr>
        <w:t xml:space="preserve">研究仅考察有限课程、人群和时段。知识类型、语言表达、无障碍需要及先前经验可能影响帮助策略，不能由成人数据直接推论儿童。教师期待、同伴交流和课外人工智能使用难以完全隔离，独立测验也只能覆盖选定目标。八周干预加四周追踪仍不足以回答多年依赖或发展影响。</w:t>
      </w:r>
    </w:p>
    <w:p>
      <w:pPr>
        <w:pStyle w:val="BodyText"/>
      </w:pPr>
      <w:r>
        <w:rPr>
          <w:rFonts w:hint="eastAsia"/>
        </w:rPr>
        <w:t xml:space="preserve">本文提出把跨会话目标、独立表现、帮助调整和学习者选择放在同一协作协议中，并用延迟无人工智能迁移检验其价值。相关教学原则已有明确研究基础，本文的独立增量需要机制比较确认。方法是否值得应用，应由学习结果、学生选择、教师责任和总成本共同决定，不能由系统使用热度或模拟学生得分替代。</w:t>
      </w:r>
    </w:p>
    <w:bookmarkEnd w:id="45"/>
    <w:bookmarkStart w:id="46" w:name="研究声明"/>
    <w:p>
      <w:pPr>
        <w:pStyle w:val="Heading2"/>
      </w:pPr>
      <w:r>
        <w:rPr>
          <w:rFonts w:hint="eastAsia"/>
        </w:rPr>
        <w:t xml:space="preserve">研究声明</w:t>
      </w:r>
    </w:p>
    <w:p>
      <w:pPr>
        <w:pStyle w:val="FirstParagraph"/>
      </w:pPr>
      <w:r>
        <w:rPr>
          <w:rFonts w:hint="eastAsia"/>
          <w:b/>
          <w:bCs/>
        </w:rPr>
        <w:t xml:space="preserve">数据可用性声明：</w:t>
      </w:r>
      <w:r>
        <w:t xml:space="preserve"> </w:t>
      </w:r>
      <w:r>
        <w:rPr>
          <w:rFonts w:hint="eastAsia"/>
        </w:rPr>
        <w:t xml:space="preserve">当前没有本研究的参与者数据、实验结果或已实现系统可供发布。未来拟公开去标识化的任务规范、分析程序和可授权汇总数据；是否开放个体记录取决于同意范围和隐私审查，不预先承诺公开学生原始对话。</w:t>
      </w:r>
    </w:p>
    <w:p>
      <w:pPr>
        <w:pStyle w:val="BodyText"/>
      </w:pPr>
      <w:r>
        <w:rPr>
          <w:rFonts w:hint="eastAsia"/>
          <w:b/>
          <w:bCs/>
        </w:rPr>
        <w:t xml:space="preserve">伦理声明：</w:t>
      </w:r>
      <w:r>
        <w:t xml:space="preserve"> </w:t>
      </w:r>
      <w:r>
        <w:rPr>
          <w:rFonts w:hint="eastAsia"/>
        </w:rPr>
        <w:t xml:space="preserve">尚未取得本研究伦理审批，尚未开始任何真人试验。成人研究和未来未成年人研究均须完成各自适用的审查与同意程序。正文所列保护措施是研究设计要求，不是已经实施的保障证明。</w:t>
      </w:r>
    </w:p>
    <w:p>
      <w:pPr>
        <w:pStyle w:val="BodyText"/>
      </w:pPr>
      <w:r>
        <w:rPr>
          <w:rFonts w:hint="eastAsia"/>
          <w:b/>
          <w:bCs/>
        </w:rPr>
        <w:t xml:space="preserve">作者贡献声明（CRediT，待作者确认）：</w:t>
      </w:r>
      <w:r>
        <w:t xml:space="preserve"> </w:t>
      </w:r>
      <w:r>
        <w:rPr>
          <w:rFonts w:hint="eastAsia"/>
        </w:rPr>
        <w:t xml:space="preserve">袁成路拟负责概念形成、方法设计、研究组织和稿件审订。软件开发、参与者招募、数据分析及实验验证尚未完成，不列为已完成贡献。</w:t>
      </w:r>
    </w:p>
    <w:p>
      <w:pPr>
        <w:pStyle w:val="BodyText"/>
      </w:pPr>
      <w:r>
        <w:rPr>
          <w:rFonts w:hint="eastAsia"/>
          <w:b/>
          <w:bCs/>
        </w:rPr>
        <w:t xml:space="preserve">利益冲突声明：</w:t>
      </w:r>
      <w:r>
        <w:t xml:space="preserve"> </w:t>
      </w:r>
      <w:r>
        <w:rPr>
          <w:rFonts w:hint="eastAsia"/>
        </w:rPr>
        <w:t xml:space="preserve">当前材料未提供作者正式利益冲突申报，投稿前应由作者确认并补充。</w:t>
      </w:r>
    </w:p>
    <w:p>
      <w:pPr>
        <w:pStyle w:val="BodyText"/>
      </w:pPr>
      <w:r>
        <w:rPr>
          <w:rFonts w:hint="eastAsia"/>
          <w:b/>
          <w:bCs/>
        </w:rPr>
        <w:t xml:space="preserve">经费声明：</w:t>
      </w:r>
      <w:r>
        <w:t xml:space="preserve"> </w:t>
      </w:r>
      <w:r>
        <w:rPr>
          <w:rFonts w:hint="eastAsia"/>
        </w:rPr>
        <w:t xml:space="preserve">研究路线拟由作者个人承担费用；当前未见可核实的基金或单位科研资助信息，最终声明待作者确认，不填报未经核实的机构支持。</w:t>
      </w:r>
    </w:p>
    <w:p>
      <w:pPr>
        <w:pStyle w:val="BodyText"/>
      </w:pPr>
      <w:r>
        <w:rPr>
          <w:rFonts w:hint="eastAsia"/>
          <w:b/>
          <w:bCs/>
        </w:rPr>
        <w:t xml:space="preserve">人工智能使用声明：</w:t>
      </w:r>
      <w:r>
        <w:t xml:space="preserve"> </w:t>
      </w:r>
      <w:r>
        <w:rPr>
          <w:rFonts w:hint="eastAsia"/>
        </w:rPr>
        <w:t xml:space="preserve">人工智能工具辅助了文献检索、结构设计、初稿写作和一致性自查。作者需核验文献、设计及最终表述。尚未进行独立外部同行评审，未确定目标期刊，其人工智能披露及研究规范仍需另行核对。</w:t>
      </w:r>
    </w:p>
    <w:bookmarkEnd w:id="46"/>
    <w:bookmarkStart w:id="59" w:name="参考文献"/>
    <w:p>
      <w:pPr>
        <w:pStyle w:val="Heading2"/>
      </w:pPr>
      <w:r>
        <w:rPr>
          <w:rFonts w:hint="eastAsia"/>
        </w:rPr>
        <w:t xml:space="preserve">参考文献</w:t>
      </w:r>
    </w:p>
    <w:p>
      <w:pPr>
        <w:pStyle w:val="FirstParagraph"/>
      </w:pPr>
      <w:r>
        <w:t xml:space="preserve">[1] Bastani, H., Bastani, O., Sungu, A., Ge, H., Kabakcı, Ö., &amp; Mariman, R. (2025). Generative AI without guardrails can harm learning: Evidence from high school mathematics.</w:t>
      </w:r>
      <w:r>
        <w:t xml:space="preserve"> </w:t>
      </w:r>
      <w:r>
        <w:rPr>
          <w:i/>
          <w:iCs/>
        </w:rPr>
        <w:t xml:space="preserve">Proceedings of the National Academy of Sciences, 122</w:t>
      </w:r>
      <w:r>
        <w:t xml:space="preserve">(26), e2422633122. DOI:</w:t>
      </w:r>
      <w:r>
        <w:t xml:space="preserve"> </w:t>
      </w:r>
      <w:hyperlink r:id="rId47">
        <w:r>
          <w:rPr>
            <w:rStyle w:val="Hyperlink"/>
          </w:rPr>
          <w:t xml:space="preserve">10.1073/pnas.2422633122</w:t>
        </w:r>
      </w:hyperlink>
      <w:r>
        <w:t xml:space="preserve">. </w:t>
      </w:r>
      <w:r>
        <w:rPr>
          <w:rFonts w:hint="eastAsia"/>
        </w:rPr>
        <w:t xml:space="preserve">出版社页面包含</w:t>
      </w:r>
      <w:r>
        <w:t xml:space="preserve"> 2025-08-20 </w:t>
      </w:r>
      <w:r>
        <w:rPr>
          <w:rFonts w:hint="eastAsia"/>
        </w:rPr>
        <w:t xml:space="preserve">作者单位更正说明。</w:t>
      </w:r>
    </w:p>
    <w:p>
      <w:pPr>
        <w:pStyle w:val="BodyText"/>
      </w:pPr>
      <w:r>
        <w:t xml:space="preserve">[2] Kestin, G., Miller, K., Klales, A., Milbourne, T., &amp; Ponti, G. (2025). AI tutoring outperforms in-class active learning: an RCT introducing a novel research-based design in an authentic educational setting.</w:t>
      </w:r>
      <w:r>
        <w:t xml:space="preserve"> </w:t>
      </w:r>
      <w:r>
        <w:rPr>
          <w:i/>
          <w:iCs/>
        </w:rPr>
        <w:t xml:space="preserve">Scientific Reports, 15</w:t>
      </w:r>
      <w:r>
        <w:t xml:space="preserve">, 17458. DOI:</w:t>
      </w:r>
      <w:r>
        <w:t xml:space="preserve"> </w:t>
      </w:r>
      <w:hyperlink r:id="rId48">
        <w:r>
          <w:rPr>
            <w:rStyle w:val="Hyperlink"/>
          </w:rPr>
          <w:t xml:space="preserve">10.1038/s41598-025-97652-6</w:t>
        </w:r>
      </w:hyperlink>
      <w:r>
        <w:t xml:space="preserve">.</w:t>
      </w:r>
    </w:p>
    <w:p>
      <w:pPr>
        <w:pStyle w:val="BodyText"/>
      </w:pPr>
      <w:r>
        <w:t xml:space="preserve">[3] Atkinson, R. K., Renkl, A., &amp; Merrill, M. M. (2003). Transitioning From Studying Examples to Solving Problems: Effects of Self-Explanation Prompts and Fading Worked-Out Steps.</w:t>
      </w:r>
      <w:r>
        <w:t xml:space="preserve"> </w:t>
      </w:r>
      <w:r>
        <w:rPr>
          <w:i/>
          <w:iCs/>
        </w:rPr>
        <w:t xml:space="preserve">Journal of Educational Psychology, 95</w:t>
      </w:r>
      <w:r>
        <w:t xml:space="preserve">(4), 774–783. DOI:</w:t>
      </w:r>
      <w:r>
        <w:t xml:space="preserve"> </w:t>
      </w:r>
      <w:hyperlink r:id="rId49">
        <w:r>
          <w:rPr>
            <w:rStyle w:val="Hyperlink"/>
          </w:rPr>
          <w:t xml:space="preserve">10.1037/0022-0663.95.4.774</w:t>
        </w:r>
      </w:hyperlink>
      <w:r>
        <w:t xml:space="preserve">.</w:t>
      </w:r>
    </w:p>
    <w:p>
      <w:pPr>
        <w:pStyle w:val="BodyText"/>
      </w:pPr>
      <w:r>
        <w:t xml:space="preserve">[4] Koedinger, K. R., &amp; Aleven, V. (2007). Exploring the Assistance Dilemma in Experiments with Cognitive Tutors.</w:t>
      </w:r>
      <w:r>
        <w:t xml:space="preserve"> </w:t>
      </w:r>
      <w:r>
        <w:rPr>
          <w:i/>
          <w:iCs/>
        </w:rPr>
        <w:t xml:space="preserve">Educational Psychology Review, 19</w:t>
      </w:r>
      <w:r>
        <w:t xml:space="preserve">, 239–264. DOI:</w:t>
      </w:r>
      <w:r>
        <w:t xml:space="preserve"> </w:t>
      </w:r>
      <w:hyperlink r:id="rId50">
        <w:r>
          <w:rPr>
            <w:rStyle w:val="Hyperlink"/>
          </w:rPr>
          <w:t xml:space="preserve">10.1007/s10648-007-9049-0</w:t>
        </w:r>
      </w:hyperlink>
      <w:r>
        <w:t xml:space="preserve">.</w:t>
      </w:r>
    </w:p>
    <w:p>
      <w:pPr>
        <w:pStyle w:val="BodyText"/>
      </w:pPr>
      <w:r>
        <w:t xml:space="preserve">[5] Zimmerman, B. J. (2002). Becoming a Self-Regulated Learner: An Overview.</w:t>
      </w:r>
      <w:r>
        <w:t xml:space="preserve"> </w:t>
      </w:r>
      <w:r>
        <w:rPr>
          <w:i/>
          <w:iCs/>
        </w:rPr>
        <w:t xml:space="preserve">Theory Into Practice, 41</w:t>
      </w:r>
      <w:r>
        <w:t xml:space="preserve">(2), 64–70. DOI:</w:t>
      </w:r>
      <w:r>
        <w:t xml:space="preserve"> </w:t>
      </w:r>
      <w:hyperlink r:id="rId51">
        <w:r>
          <w:rPr>
            <w:rStyle w:val="Hyperlink"/>
          </w:rPr>
          <w:t xml:space="preserve">10.1207/s15430421tip4102_2</w:t>
        </w:r>
      </w:hyperlink>
      <w:r>
        <w:t xml:space="preserve">.</w:t>
      </w:r>
    </w:p>
    <w:p>
      <w:pPr>
        <w:pStyle w:val="BodyText"/>
      </w:pPr>
      <w:r>
        <w:t xml:space="preserve">[6] Roediger, H. L., III, &amp; Karpicke, J. D. (2006). Test-Enhanced Learning: Taking Memory Tests Improves Long-Term Retention.</w:t>
      </w:r>
      <w:r>
        <w:t xml:space="preserve"> </w:t>
      </w:r>
      <w:r>
        <w:rPr>
          <w:i/>
          <w:iCs/>
        </w:rPr>
        <w:t xml:space="preserve">Psychological Science, 17</w:t>
      </w:r>
      <w:r>
        <w:t xml:space="preserve">(3), 249–255. DOI:</w:t>
      </w:r>
      <w:r>
        <w:t xml:space="preserve"> </w:t>
      </w:r>
      <w:hyperlink r:id="rId52">
        <w:r>
          <w:rPr>
            <w:rStyle w:val="Hyperlink"/>
          </w:rPr>
          <w:t xml:space="preserve">10.1111/j.1467-9280.2006.01693.x</w:t>
        </w:r>
      </w:hyperlink>
      <w:r>
        <w:t xml:space="preserve">.</w:t>
      </w:r>
    </w:p>
    <w:p>
      <w:pPr>
        <w:pStyle w:val="BodyText"/>
      </w:pPr>
      <w:r>
        <w:t xml:space="preserve">[7] Wang, R. E., Ribeiro, A. T., Robinson, C. D., Loeb, S., &amp; Demszky, D. (2025). Tutor CoPilot: A Human-AI Approach for Scaling Real-Time Expertise.</w:t>
      </w:r>
      <w:r>
        <w:t xml:space="preserve"> </w:t>
      </w:r>
      <w:r>
        <w:rPr>
          <w:i/>
          <w:iCs/>
        </w:rPr>
        <w:t xml:space="preserve">arXiv preprint arXiv:2410.03017</w:t>
      </w:r>
      <w:r>
        <w:t xml:space="preserve">, version 2, 26 January 2025; </w:t>
      </w:r>
      <w:r>
        <w:rPr>
          <w:rFonts w:hint="eastAsia"/>
        </w:rPr>
        <w:t xml:space="preserve">初版</w:t>
      </w:r>
      <w:r>
        <w:t xml:space="preserve"> 2024. DOI:</w:t>
      </w:r>
      <w:r>
        <w:t xml:space="preserve"> </w:t>
      </w:r>
      <w:hyperlink r:id="rId53">
        <w:r>
          <w:rPr>
            <w:rStyle w:val="Hyperlink"/>
          </w:rPr>
          <w:t xml:space="preserve">10.48550/arXiv.2410.03017</w:t>
        </w:r>
      </w:hyperlink>
      <w:r>
        <w:t xml:space="preserve">.</w:t>
      </w:r>
    </w:p>
    <w:p>
      <w:pPr>
        <w:pStyle w:val="BodyText"/>
      </w:pPr>
      <w:r>
        <w:t xml:space="preserve">[8] Xu, X., Qiao, L., Cheng, N., Liu, H., &amp; Zhao, W. (2025). Enhancing self-regulated learning and learning experience in generative AI environments: The critical role of metacognitive support.</w:t>
      </w:r>
      <w:r>
        <w:t xml:space="preserve"> </w:t>
      </w:r>
      <w:r>
        <w:rPr>
          <w:i/>
          <w:iCs/>
        </w:rPr>
        <w:t xml:space="preserve">British Journal of Educational Technology, 56</w:t>
      </w:r>
      <w:r>
        <w:t xml:space="preserve">(5), 1842–1863. DOI:</w:t>
      </w:r>
      <w:r>
        <w:t xml:space="preserve"> </w:t>
      </w:r>
      <w:hyperlink r:id="rId54">
        <w:r>
          <w:rPr>
            <w:rStyle w:val="Hyperlink"/>
          </w:rPr>
          <w:t xml:space="preserve">10.1111/bjet.13599</w:t>
        </w:r>
      </w:hyperlink>
      <w:r>
        <w:t xml:space="preserve">.</w:t>
      </w:r>
    </w:p>
    <w:p>
      <w:pPr>
        <w:pStyle w:val="BodyText"/>
      </w:pPr>
      <w:r>
        <w:t xml:space="preserve">[9] Yang, S., Van Alstyne, M., &amp; Dellarocas, C. (2026). When AI Tutors Speak: Evidence from a Randomized Field Experiment.</w:t>
      </w:r>
      <w:r>
        <w:t xml:space="preserve"> </w:t>
      </w:r>
      <w:r>
        <w:rPr>
          <w:i/>
          <w:iCs/>
        </w:rPr>
        <w:t xml:space="preserve">arXiv preprint arXiv:2609.23958</w:t>
      </w:r>
      <w:r>
        <w:t xml:space="preserve">, version 1. DOI:</w:t>
      </w:r>
      <w:r>
        <w:t xml:space="preserve"> </w:t>
      </w:r>
      <w:hyperlink r:id="rId55">
        <w:r>
          <w:rPr>
            <w:rStyle w:val="Hyperlink"/>
          </w:rPr>
          <w:t xml:space="preserve">10.48550/arXiv.2609.23958</w:t>
        </w:r>
      </w:hyperlink>
      <w:r>
        <w:rPr>
          <w:rFonts w:hint="eastAsia"/>
        </w:rPr>
        <w:t xml:space="preserve">（作者提交页面标注</w:t>
      </w:r>
      <w:r>
        <w:t xml:space="preserve"> DOI </w:t>
      </w:r>
      <w:r>
        <w:rPr>
          <w:rFonts w:hint="eastAsia"/>
        </w:rPr>
        <w:t xml:space="preserve">待注册；</w:t>
      </w:r>
      <w:hyperlink r:id="rId56">
        <w:r>
          <w:rPr>
            <w:rStyle w:val="Hyperlink"/>
          </w:rPr>
          <w:t xml:space="preserve">arXiv </w:t>
        </w:r>
        <w:r>
          <w:rPr>
            <w:rStyle w:val="Hyperlink"/>
            <w:rFonts w:hint="eastAsia"/>
          </w:rPr>
          <w:t xml:space="preserve">原页</w:t>
        </w:r>
      </w:hyperlink>
      <w:r>
        <w:rPr>
          <w:rFonts w:hint="eastAsia"/>
        </w:rPr>
        <w:t xml:space="preserve">可访问）.</w:t>
      </w:r>
    </w:p>
    <w:p>
      <w:pPr>
        <w:pStyle w:val="BodyText"/>
      </w:pPr>
      <w:r>
        <w:t xml:space="preserve">[10] Harrison, W., Khowaja, R., Dobson, E., Uwimpuhwe, G., &amp; Higgins, S. (2026). Evaluating AI Tutoring at the Speed of Innovation: Practitioner-Led Micro-Randomised Trials of an AI Tutoring Platform in GCSE Science.</w:t>
      </w:r>
      <w:r>
        <w:t xml:space="preserve"> </w:t>
      </w:r>
      <w:r>
        <w:rPr>
          <w:i/>
          <w:iCs/>
        </w:rPr>
        <w:t xml:space="preserve">arXiv preprint arXiv:2609.14789</w:t>
      </w:r>
      <w:r>
        <w:t xml:space="preserve">, version 1. DOI:</w:t>
      </w:r>
      <w:r>
        <w:t xml:space="preserve"> </w:t>
      </w:r>
      <w:hyperlink r:id="rId57">
        <w:r>
          <w:rPr>
            <w:rStyle w:val="Hyperlink"/>
          </w:rPr>
          <w:t xml:space="preserve">10.48550/arXiv.2609.14789</w:t>
        </w:r>
      </w:hyperlink>
      <w:r>
        <w:rPr>
          <w:rFonts w:hint="eastAsia"/>
        </w:rPr>
        <w:t xml:space="preserve">（作者提交页面标注</w:t>
      </w:r>
      <w:r>
        <w:t xml:space="preserve"> DOI </w:t>
      </w:r>
      <w:r>
        <w:rPr>
          <w:rFonts w:hint="eastAsia"/>
        </w:rPr>
        <w:t xml:space="preserve">待注册；</w:t>
      </w:r>
      <w:hyperlink r:id="rId58">
        <w:r>
          <w:rPr>
            <w:rStyle w:val="Hyperlink"/>
          </w:rPr>
          <w:t xml:space="preserve">arXiv </w:t>
        </w:r>
        <w:r>
          <w:rPr>
            <w:rStyle w:val="Hyperlink"/>
            <w:rFonts w:hint="eastAsia"/>
          </w:rPr>
          <w:t xml:space="preserve">原页</w:t>
        </w:r>
      </w:hyperlink>
      <w:r>
        <w:rPr>
          <w:rFonts w:hint="eastAsia"/>
        </w:rPr>
        <w:t xml:space="preserve">可访问）.</w:t>
      </w:r>
    </w:p>
    <w:bookmarkEnd w:id="59"/>
    <w:bookmarkEnd w:id="60"/>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58" Target="https://arxiv.org/abs/2609.14789" TargetMode="External" /><Relationship Type="http://schemas.openxmlformats.org/officeDocument/2006/relationships/hyperlink" Id="rId56" Target="https://arxiv.org/abs/2609.23958" TargetMode="External" /><Relationship Type="http://schemas.openxmlformats.org/officeDocument/2006/relationships/hyperlink" Id="rId50" Target="https://doi.org/10.1007/s10648-007-9049-0" TargetMode="External" /><Relationship Type="http://schemas.openxmlformats.org/officeDocument/2006/relationships/hyperlink" Id="rId49" Target="https://doi.org/10.1037/0022-0663.95.4.774" TargetMode="External" /><Relationship Type="http://schemas.openxmlformats.org/officeDocument/2006/relationships/hyperlink" Id="rId48" Target="https://doi.org/10.1038/s41598-025-97652-6" TargetMode="External" /><Relationship Type="http://schemas.openxmlformats.org/officeDocument/2006/relationships/hyperlink" Id="rId47" Target="https://doi.org/10.1073/pnas.2422633122" TargetMode="External" /><Relationship Type="http://schemas.openxmlformats.org/officeDocument/2006/relationships/hyperlink" Id="rId54" Target="https://doi.org/10.1111/bjet.13599" TargetMode="External" /><Relationship Type="http://schemas.openxmlformats.org/officeDocument/2006/relationships/hyperlink" Id="rId52" Target="https://doi.org/10.1111/j.1467-9280.2006.01693.x" TargetMode="External" /><Relationship Type="http://schemas.openxmlformats.org/officeDocument/2006/relationships/hyperlink" Id="rId51" Target="https://doi.org/10.1207/s15430421tip4102_2" TargetMode="External" /><Relationship Type="http://schemas.openxmlformats.org/officeDocument/2006/relationships/hyperlink" Id="rId53" Target="https://doi.org/10.48550/arXiv.2410.03017" TargetMode="External" /><Relationship Type="http://schemas.openxmlformats.org/officeDocument/2006/relationships/hyperlink" Id="rId57" Target="https://doi.org/10.48550/arXiv.2609.14789" TargetMode="External" /><Relationship Type="http://schemas.openxmlformats.org/officeDocument/2006/relationships/hyperlink" Id="rId55" Target="https://doi.org/10.48550/arXiv.2609.23958" TargetMode="External" /></Relationships>
</file>

<file path=word/_rels/footnotes.xml.rels><?xml version="1.0" encoding="UTF-8"?><Relationships xmlns="http://schemas.openxmlformats.org/package/2006/relationships"><Relationship Type="http://schemas.openxmlformats.org/officeDocument/2006/relationships/hyperlink" Id="rId58" Target="https://arxiv.org/abs/2609.14789" TargetMode="External" /><Relationship Type="http://schemas.openxmlformats.org/officeDocument/2006/relationships/hyperlink" Id="rId56" Target="https://arxiv.org/abs/2609.23958" TargetMode="External" /><Relationship Type="http://schemas.openxmlformats.org/officeDocument/2006/relationships/hyperlink" Id="rId50" Target="https://doi.org/10.1007/s10648-007-9049-0" TargetMode="External" /><Relationship Type="http://schemas.openxmlformats.org/officeDocument/2006/relationships/hyperlink" Id="rId49" Target="https://doi.org/10.1037/0022-0663.95.4.774" TargetMode="External" /><Relationship Type="http://schemas.openxmlformats.org/officeDocument/2006/relationships/hyperlink" Id="rId48" Target="https://doi.org/10.1038/s41598-025-97652-6" TargetMode="External" /><Relationship Type="http://schemas.openxmlformats.org/officeDocument/2006/relationships/hyperlink" Id="rId47" Target="https://doi.org/10.1073/pnas.2422633122" TargetMode="External" /><Relationship Type="http://schemas.openxmlformats.org/officeDocument/2006/relationships/hyperlink" Id="rId54" Target="https://doi.org/10.1111/bjet.13599" TargetMode="External" /><Relationship Type="http://schemas.openxmlformats.org/officeDocument/2006/relationships/hyperlink" Id="rId52" Target="https://doi.org/10.1111/j.1467-9280.2006.01693.x" TargetMode="External" /><Relationship Type="http://schemas.openxmlformats.org/officeDocument/2006/relationships/hyperlink" Id="rId51" Target="https://doi.org/10.1207/s15430421tip4102_2" TargetMode="External" /><Relationship Type="http://schemas.openxmlformats.org/officeDocument/2006/relationships/hyperlink" Id="rId53" Target="https://doi.org/10.48550/arXiv.2410.03017" TargetMode="External" /><Relationship Type="http://schemas.openxmlformats.org/officeDocument/2006/relationships/hyperlink" Id="rId57" Target="https://doi.org/10.48550/arXiv.2609.14789" TargetMode="External" /><Relationship Type="http://schemas.openxmlformats.org/officeDocument/2006/relationships/hyperlink" Id="rId55" Target="https://doi.org/10.48550/arXiv.2609.239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2026-10-04T17:12:18Z</dcterms:created>
  <dcterms:modified xsi:type="dcterms:W3CDTF">2026-10-04T17:12:18Z</dcterms:modified>
</cp:coreProperties>
</file>

<file path=docProps/custom.xml><?xml version="1.0" encoding="utf-8"?>
<Properties xmlns="http://schemas.openxmlformats.org/officeDocument/2006/custom-properties" xmlns:vt="http://schemas.openxmlformats.org/officeDocument/2006/docPropsVTypes"/>
</file>