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约束认识状态与反馈校准的联合治理工具型智能体的组合框架与交互评测协议"/>
    <w:p>
      <w:pPr>
        <w:pStyle w:val="Heading1"/>
      </w:pPr>
      <w:r>
        <w:rPr>
          <w:rFonts w:hint="eastAsia"/>
        </w:rPr>
        <w:t xml:space="preserve">约束、认识状态与反馈校准的联合治理：工具型智能体的组合框架与交互评测协议</w:t>
      </w:r>
    </w:p>
    <w:p>
      <w:pPr>
        <w:pStyle w:val="FirstParagraph"/>
      </w:pPr>
      <w:r>
        <w:rPr>
          <w:b/>
          <w:bCs/>
        </w:rPr>
        <w:t xml:space="preserve">Joint Governance of Constraints, Epistemic State, and Feedback Calibration: A Compositional Framework and Interaction Evaluation Protocol for Tool-Using Agents</w:t>
      </w:r>
    </w:p>
    <w:p>
      <w:pPr>
        <w:pStyle w:val="BodyText"/>
      </w:pPr>
      <w:r>
        <w:rPr>
          <w:rFonts w:hint="eastAsia"/>
        </w:rPr>
        <w:t xml:space="preserve">袁成路（Chenglu</w:t>
      </w:r>
      <w:r>
        <w:t xml:space="preserve"> </w:t>
      </w:r>
      <w:r>
        <w:rPr>
          <w:rFonts w:hint="eastAsia"/>
        </w:rPr>
        <w:t xml:space="preserve">Yuan）</w:t>
      </w:r>
      <w:r>
        <w:br/>
      </w:r>
      <w:r>
        <w:t xml:space="preserve">Independent Researcher, Wuhan, China</w:t>
      </w:r>
    </w:p>
    <w:p>
      <w:pPr>
        <w:pStyle w:val="BlockText"/>
      </w:pPr>
      <w:r>
        <w:rPr>
          <w:rFonts w:hint="eastAsia"/>
        </w:rPr>
        <w:t xml:space="preserve">稿件状态：本文是综合框架和拟执行研究协议。组件规范、例子、样本规模及对照条件均为研究设计，尚无真实实验或已经验证的组合系统。“认知”是对可观察状态与行为的操作性描述，不主张模型具有人类道德心理或主观自我认识。</w:t>
      </w:r>
    </w:p>
    <w:bookmarkStart w:id="18" w:name="摘要"/>
    <w:p>
      <w:pPr>
        <w:pStyle w:val="Heading2"/>
      </w:pPr>
      <w:r>
        <w:rPr>
          <w:rFonts w:hint="eastAsia"/>
        </w:rPr>
        <w:t xml:space="preserve">摘要</w:t>
      </w:r>
    </w:p>
    <w:p>
      <w:pPr>
        <w:pStyle w:val="FirstParagraph"/>
      </w:pPr>
      <w:r>
        <w:rPr>
          <w:rFonts w:hint="eastAsia"/>
        </w:rPr>
        <w:t xml:space="preserve">工具型智能体可以同时配置行为约束、信息核查与行动反思，但多个单独合理的组件组合后，未必带来更可靠的任务结果。重复检查可能耗尽预算，未经验证的反思可能把推测写成事实，保守规则也可能阻断本来能够完成的任务。本文提出约束、认识状态与反馈校准的三层联合治理框架，将规范性要求转为可判定的动作条件，将已支持信息与待查假设分开，并限制反馈能够修改的状态。本文的研究对象是组件之间的互补、干扰、成本和错误归因，不把分层控制、证据记录或反思机制作为新发明。本文给出固定规则、完整拦截及版本一致条件下的有限执行性质，并明确其不能推出任务成功或事实真实。拟议评测采用三因素八条件设计，保持模型、工具、基础权限和总预算一致，区分共享检查点实验与端到端实验，以任务联合成功率、错误阻断、无依据行动、校准和全过程成本评估组合效果。本文当前提供可复现的接口规范与交互研究协议，不报告性能提升，也不以文化或哲学类比替代机制证据。</w:t>
      </w:r>
    </w:p>
    <w:p>
      <w:pPr>
        <w:pStyle w:val="BodyText"/>
      </w:pPr>
      <w:r>
        <w:rPr>
          <w:rFonts w:hint="eastAsia"/>
          <w:b/>
          <w:bCs/>
        </w:rPr>
        <w:t xml:space="preserve">关键词：</w:t>
      </w:r>
      <w:r>
        <w:t xml:space="preserve"> </w:t>
      </w:r>
      <w:r>
        <w:rPr>
          <w:rFonts w:hint="eastAsia"/>
        </w:rPr>
        <w:t xml:space="preserve">工具型智能体；运行时治理；认识状态；反馈校准；组件交互；全因子实验</w:t>
      </w:r>
    </w:p>
    <w:bookmarkEnd w:id="18"/>
    <w:bookmarkStart w:id="19" w:name="abstract"/>
    <w:p>
      <w:pPr>
        <w:pStyle w:val="Heading2"/>
      </w:pPr>
      <w:r>
        <w:t xml:space="preserve">Abstract</w:t>
      </w:r>
    </w:p>
    <w:p>
      <w:pPr>
        <w:pStyle w:val="FirstParagraph"/>
      </w:pPr>
      <w:r>
        <w:t xml:space="preserve">Tool-using agents can combine behavioral constraints, information checking, and feedback-based revision, yet individually reasonable components do not necessarily produce a more reliable system. Repeated checks may exhaust a shared budget, unsupported reflections may become accepted facts, and conservative rules may block otherwise solvable tasks. This paper specifies a three-layer governance framework comprising observable constraints, explicit epistemic states, and feedback calibration. Normative requirements are translated into executable conditions, supported information is separated from unresolved hypotheses, and feedback is restricted to declared state transitions. The research target is interaction among components, including complementarity, interference, cost, and error attribution, rather than the invention of layered control, evidence records, or reflection. We state a limited execution property under fixed policies, complete interception, and consistent versions, while distinguishing policy enforcement from task success and factual correctness. The proposed evaluation uses a three-factor, eight-condition design with matched models, tools, basic permissions, and lifecycle budgets. Shared-checkpoint experiments isolate local effects, whereas end-to-end experiments measure the consequences of diverging execution paths. Outcomes include joint task success, erroneous blocking, unsupported actions, calibration, and total computational cost. Primary interaction contrasts, family-level paired analysis, failure accounting, and safeguards against memory leakage are specified before results are available. No comparative experiments have been conducted for this manuscript. Its contribution is a testable interface specification and interaction protocol; cultural and philosophical motivations are not treated as evidence of an implemented cognitive mechanism or a performance improvement.</w:t>
      </w:r>
    </w:p>
    <w:p>
      <w:pPr>
        <w:pStyle w:val="BodyText"/>
      </w:pPr>
      <w:r>
        <w:rPr>
          <w:b/>
          <w:bCs/>
        </w:rPr>
        <w:t xml:space="preserve">Keywords:</w:t>
      </w:r>
      <w:r>
        <w:t xml:space="preserve"> </w:t>
      </w:r>
      <w:r>
        <w:t xml:space="preserve">tool-using agents; runtime governance; epistemic state; feedback calibration; component interaction; factorial design</w:t>
      </w:r>
    </w:p>
    <w:bookmarkEnd w:id="19"/>
    <w:bookmarkStart w:id="20" w:name="引言"/>
    <w:p>
      <w:pPr>
        <w:pStyle w:val="Heading2"/>
      </w:pPr>
      <w:r>
        <w:t xml:space="preserve">1 </w:t>
      </w:r>
      <w:r>
        <w:rPr>
          <w:rFonts w:hint="eastAsia"/>
        </w:rPr>
        <w:t xml:space="preserve">引言</w:t>
      </w:r>
    </w:p>
    <w:p>
      <w:pPr>
        <w:pStyle w:val="FirstParagraph"/>
      </w:pPr>
      <w:r>
        <w:rPr>
          <w:rFonts w:hint="eastAsia"/>
        </w:rPr>
        <w:t xml:space="preserve">给智能体增加一份行为规则、一张待查清单和一次行动后反思，可能帮助它减少错误，也可能使同一问题被反复检查，最后因预算耗尽而没有交付。更隐蔽的风险来自组件之间的状态传递：反思器提出“可能是权限不足”，后续状态管理却把它保存为“权限不足已确认”；约束检查据此停止任务，尽管真正原因只是临时工具超时。单看每个组件的输出都似乎合理，组合结果仍然失败。</w:t>
      </w:r>
    </w:p>
    <w:p>
      <w:pPr>
        <w:pStyle w:val="BodyText"/>
      </w:pPr>
      <w:r>
        <w:rPr>
          <w:rFonts w:hint="eastAsia"/>
        </w:rPr>
        <w:t xml:space="preserve">本文把认知治理限定为对智能体外部可观察的认识记录、动作选择和反馈使用方式的管理。它类似项目协作中的三项分工：规则说明哪些行动允许发生，事实表说明当前依据和缺口，复盘记录说明下一次怎样修改。本文不推断模型是否具有内在自我意识，也不把反思文字当成模型真实思维过程的读数。</w:t>
      </w:r>
    </w:p>
    <w:p>
      <w:pPr>
        <w:pStyle w:val="BodyText"/>
      </w:pPr>
      <w:r>
        <w:rPr>
          <w:rFonts w:hint="eastAsia"/>
        </w:rPr>
        <w:t xml:space="preserve">研究路线曾用“荣辱观”“第一性原理”“三省吾身”表达对可靠行为的期待。这些词可以启发问题，但不能直接充当技术机制或研究变量。本文将其分别转写为可观察约束、对事实与假设的分解、基于反馈的修正与校准。映射关系是本研究的设计选择，不是对哲学概念的完整解释，更不是给模型赋予道德情感的证据。</w:t>
      </w:r>
    </w:p>
    <w:p>
      <w:pPr>
        <w:pStyle w:val="BodyText"/>
      </w:pPr>
      <w:r>
        <w:rPr>
          <w:rFonts w:hint="eastAsia"/>
        </w:rPr>
        <w:t xml:space="preserve">核心研究问题是：</w:t>
      </w:r>
      <w:r>
        <w:rPr>
          <w:rFonts w:hint="eastAsia"/>
          <w:b/>
          <w:bCs/>
        </w:rPr>
        <w:t xml:space="preserve">当约束、认识状态管理和反馈修正共享同一模型、工具环境与预算时，它们在哪些条件下互相补充，在哪些条件下互相干扰？</w:t>
      </w:r>
      <w:r>
        <w:t xml:space="preserve"> </w:t>
      </w:r>
      <w:r>
        <w:rPr>
          <w:rFonts w:hint="eastAsia"/>
        </w:rPr>
        <w:t xml:space="preserve">回答这一问题，不能只比较“全部开启”和“全部关闭”。后者无法判断收益来自哪个组件，也无法判断一个组件是否抵消了另一个组件的收益。</w:t>
      </w:r>
    </w:p>
    <w:p>
      <w:pPr>
        <w:pStyle w:val="BodyText"/>
      </w:pPr>
      <w:r>
        <w:rPr>
          <w:rFonts w:hint="eastAsia"/>
        </w:rPr>
        <w:t xml:space="preserve">本文提出一个三层接口框架、有限前提下的行为性质，以及用于识别交互的实验协议。研究对象从单组件作用转向组合增量。本文不将单独的记忆有效性、结构化反思或结论证据关联再次作为独立贡献，也不预设三层全部开启就是最优配置。</w:t>
      </w:r>
    </w:p>
    <w:bookmarkEnd w:id="20"/>
    <w:bookmarkStart w:id="25" w:name="相关工作与研究边界"/>
    <w:p>
      <w:pPr>
        <w:pStyle w:val="Heading2"/>
      </w:pPr>
      <w:r>
        <w:t xml:space="preserve">2 </w:t>
      </w:r>
      <w:r>
        <w:rPr>
          <w:rFonts w:hint="eastAsia"/>
        </w:rPr>
        <w:t xml:space="preserve">相关工作与研究边界</w:t>
      </w:r>
    </w:p>
    <w:bookmarkStart w:id="21" w:name="行动反馈与信息状态"/>
    <w:p>
      <w:pPr>
        <w:pStyle w:val="Heading3"/>
      </w:pPr>
      <w:r>
        <w:t xml:space="preserve">2.1 </w:t>
      </w:r>
      <w:r>
        <w:rPr>
          <w:rFonts w:hint="eastAsia"/>
        </w:rPr>
        <w:t xml:space="preserve">行动、反馈与信息状态</w:t>
      </w:r>
    </w:p>
    <w:p>
      <w:pPr>
        <w:pStyle w:val="FirstParagraph"/>
      </w:pPr>
      <w:r>
        <w:t xml:space="preserve">ReAct </w:t>
      </w:r>
      <w:r>
        <w:rPr>
          <w:rFonts w:hint="eastAsia"/>
        </w:rPr>
        <w:t xml:space="preserve">将推理与工具行动交替组织，使环境信息能够影响后续决策[1]。Reflexion</w:t>
      </w:r>
      <w:r>
        <w:t xml:space="preserve"> </w:t>
      </w:r>
      <w:r>
        <w:rPr>
          <w:rFonts w:hint="eastAsia"/>
        </w:rPr>
        <w:t xml:space="preserve">使用任务反馈形成语言记录，服务于后续尝试[2]。CRITIC</w:t>
      </w:r>
      <w:r>
        <w:t xml:space="preserve"> </w:t>
      </w:r>
      <w:r>
        <w:rPr>
          <w:rFonts w:hint="eastAsia"/>
        </w:rPr>
        <w:t xml:space="preserve">利用工具核查并修订模型输出[3]。这些研究已经包含行动、观测和修正的闭环，因此本文不能以“行动后再反思”作为贡献。</w:t>
      </w:r>
    </w:p>
    <w:p>
      <w:pPr>
        <w:pStyle w:val="BodyText"/>
      </w:pPr>
      <w:r>
        <w:t xml:space="preserve">Self-RAG </w:t>
      </w:r>
      <w:r>
        <w:rPr>
          <w:rFonts w:hint="eastAsia"/>
        </w:rPr>
        <w:t xml:space="preserve">通过训练得到的特殊标记连接按需检索、支持判断和生成[4]。其方法说明认识判断与生成控制已有结合，且相关能力可以涉及训练过程。本稿限定基础模型权重不变，研究外部接口规则，不能把</w:t>
      </w:r>
      <w:r>
        <w:t xml:space="preserve"> Self-RAG </w:t>
      </w:r>
      <w:r>
        <w:rPr>
          <w:rFonts w:hint="eastAsia"/>
        </w:rPr>
        <w:t xml:space="preserve">的训练收益解释为本稿提示结构的收益，也不能用较弱的无检索回答代替合理基线。</w:t>
      </w:r>
    </w:p>
    <w:bookmarkEnd w:id="21"/>
    <w:bookmarkStart w:id="22" w:name="自我判断与校准的边界"/>
    <w:p>
      <w:pPr>
        <w:pStyle w:val="Heading3"/>
      </w:pPr>
      <w:r>
        <w:t xml:space="preserve">2.2 </w:t>
      </w:r>
      <w:r>
        <w:rPr>
          <w:rFonts w:hint="eastAsia"/>
        </w:rPr>
        <w:t xml:space="preserve">自我判断与校准的边界</w:t>
      </w:r>
    </w:p>
    <w:p>
      <w:pPr>
        <w:pStyle w:val="FirstParagraph"/>
      </w:pPr>
      <w:r>
        <w:t xml:space="preserve">Kadavath </w:t>
      </w:r>
      <w:r>
        <w:rPr>
          <w:rFonts w:hint="eastAsia"/>
        </w:rPr>
        <w:t xml:space="preserve">等研究模型对答案正确性及可回答性的预测，并指出跨任务校准存在困难[5]。因此，模型说“我确定”应当视为待检验输出。本文中的“已支持”是证据状态，“高概率”是概率预测，两者不能互相替代。</w:t>
      </w:r>
    </w:p>
    <w:p>
      <w:pPr>
        <w:pStyle w:val="BodyText"/>
      </w:pPr>
      <w:r>
        <w:t xml:space="preserve">Huang </w:t>
      </w:r>
      <w:r>
        <w:rPr>
          <w:rFonts w:hint="eastAsia"/>
        </w:rPr>
        <w:t xml:space="preserve">等在其研究条件下发现，没有外部反馈的自我纠错可能无法改进、甚至破坏原本正确的答案[6]。这一结果不等于所有模型永久不能纠错，但足以要求把外部反馈、结构化反思、额外计算及初始正确性分开。本文进一步检验这些因素在其他组件已经存在时的增量。</w:t>
      </w:r>
    </w:p>
    <w:bookmarkEnd w:id="22"/>
    <w:bookmarkStart w:id="23" w:name="近期治理框架及直接近邻"/>
    <w:p>
      <w:pPr>
        <w:pStyle w:val="Heading3"/>
      </w:pPr>
      <w:r>
        <w:t xml:space="preserve">2.3 </w:t>
      </w:r>
      <w:r>
        <w:rPr>
          <w:rFonts w:hint="eastAsia"/>
        </w:rPr>
        <w:t xml:space="preserve">近期治理框架及直接近邻</w:t>
      </w:r>
    </w:p>
    <w:p>
      <w:pPr>
        <w:pStyle w:val="FirstParagraph"/>
      </w:pPr>
      <w:r>
        <w:t xml:space="preserve">Policies on Paths </w:t>
      </w:r>
      <w:r>
        <w:rPr>
          <w:rFonts w:hint="eastAsia"/>
        </w:rPr>
        <w:t xml:space="preserve">将智能体路径、拟执行动作与组织状态纳入运行时规则评价[7]。Neither</w:t>
      </w:r>
      <w:r>
        <w:t xml:space="preserve"> Layer Alone </w:t>
      </w:r>
      <w:r>
        <w:rPr>
          <w:rFonts w:hint="eastAsia"/>
        </w:rPr>
        <w:t xml:space="preserve">直接讨论认识、行动和决策的联合设计及模型与运行层之间的接口约定[8]。二者与本稿的分层结构、状态传递和执行约束明显相邻，本文不声称首创运行时治理、多层框架或显式认识状态。</w:t>
      </w:r>
    </w:p>
    <w:p>
      <w:pPr>
        <w:pStyle w:val="BodyText"/>
      </w:pPr>
      <w:r>
        <w:t xml:space="preserve">Maat </w:t>
      </w:r>
      <w:r>
        <w:rPr>
          <w:rFonts w:hint="eastAsia"/>
        </w:rPr>
        <w:t xml:space="preserve">研究确定性的工作流交接校验，其公开原文同时讨论错误阻断与提前停机评分的偏差[9]。这提示组合评测必须审查治理器自身：可重复地拒绝合法任务，也是失败，不能仅因规则是确定性的就把阻断视为正确。</w:t>
      </w:r>
    </w:p>
    <w:p>
      <w:pPr>
        <w:pStyle w:val="BodyText"/>
      </w:pPr>
      <w:r>
        <w:t xml:space="preserve">AgentDojo </w:t>
      </w:r>
      <w:r>
        <w:rPr>
          <w:rFonts w:hint="eastAsia"/>
        </w:rPr>
        <w:t xml:space="preserve">提供工具返回中不可信内容影响智能体的研究环境，并区分正常任务表现和攻击结果[10]。本文借鉴这一边界：外部反馈可以改变待查事实，不能自行更改系统规则。这里只研究受控的输入污染和状态升级错误，不宣称覆盖所有安全威胁。</w:t>
      </w:r>
    </w:p>
    <w:bookmarkEnd w:id="23"/>
    <w:bookmarkStart w:id="24" w:name="与同一研究计划的分工"/>
    <w:p>
      <w:pPr>
        <w:pStyle w:val="Heading3"/>
      </w:pPr>
      <w:r>
        <w:t xml:space="preserve">2.4 </w:t>
      </w:r>
      <w:r>
        <w:rPr>
          <w:rFonts w:hint="eastAsia"/>
        </w:rPr>
        <w:t xml:space="preserve">与同一研究计划的分工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配套研究</w:t>
            </w:r>
          </w:p>
        </w:tc>
        <w:tc>
          <w:tcPr/>
          <w:p>
            <w:pPr>
              <w:pStyle w:val="Compact"/>
            </w:pPr>
            <w:r>
              <w:rPr>
                <w:rFonts w:hint="eastAsia"/>
              </w:rPr>
              <w:t xml:space="preserve">单独研究对象</w:t>
            </w:r>
          </w:p>
        </w:tc>
        <w:tc>
          <w:tcPr/>
          <w:p>
            <w:pPr>
              <w:pStyle w:val="Compact"/>
            </w:pPr>
            <w:r>
              <w:rPr>
                <w:rFonts w:hint="eastAsia"/>
              </w:rPr>
              <w:t xml:space="preserve">本稿如何使用</w:t>
            </w:r>
          </w:p>
        </w:tc>
        <w:tc>
          <w:tcPr/>
          <w:p>
            <w:pPr>
              <w:pStyle w:val="Compact"/>
            </w:pPr>
            <w:r>
              <w:rPr>
                <w:rFonts w:hint="eastAsia"/>
              </w:rPr>
              <w:t xml:space="preserve">本稿不重复的贡献</w:t>
            </w:r>
          </w:p>
        </w:tc>
      </w:tr>
      <w:tr>
        <w:tc>
          <w:tcPr/>
          <w:p>
            <w:pPr>
              <w:pStyle w:val="Compact"/>
            </w:pPr>
            <w:r>
              <w:rPr>
                <w:rFonts w:hint="eastAsia"/>
              </w:rPr>
              <w:t xml:space="preserve">依赖感知计划修正</w:t>
            </w:r>
          </w:p>
        </w:tc>
        <w:tc>
          <w:tcPr/>
          <w:p>
            <w:pPr>
              <w:pStyle w:val="Compact"/>
            </w:pPr>
            <w:r>
              <w:rPr>
                <w:rFonts w:hint="eastAsia"/>
              </w:rPr>
              <w:t xml:space="preserve">需求变化对步骤、产物及验收的影响</w:t>
            </w:r>
          </w:p>
        </w:tc>
        <w:tc>
          <w:tcPr/>
          <w:p>
            <w:pPr>
              <w:pStyle w:val="Compact"/>
            </w:pPr>
            <w:r>
              <w:rPr>
                <w:rFonts w:hint="eastAsia"/>
              </w:rPr>
              <w:t xml:space="preserve">使用固定版本的任务要求与公开验收条件</w:t>
            </w:r>
          </w:p>
        </w:tc>
        <w:tc>
          <w:tcPr/>
          <w:p>
            <w:pPr>
              <w:pStyle w:val="Compact"/>
            </w:pPr>
            <w:r>
              <w:rPr>
                <w:rFonts w:hint="eastAsia"/>
              </w:rPr>
              <w:t xml:space="preserve">不重新研究影响图和局部重规划</w:t>
            </w:r>
          </w:p>
        </w:tc>
      </w:tr>
      <w:tr>
        <w:tc>
          <w:tcPr/>
          <w:p>
            <w:pPr>
              <w:pStyle w:val="Compact"/>
            </w:pPr>
            <w:r>
              <w:rPr>
                <w:rFonts w:hint="eastAsia"/>
              </w:rPr>
              <w:t xml:space="preserve">记忆与上下文治理</w:t>
            </w:r>
          </w:p>
        </w:tc>
        <w:tc>
          <w:tcPr/>
          <w:p>
            <w:pPr>
              <w:pStyle w:val="Compact"/>
            </w:pPr>
            <w:r>
              <w:rPr>
                <w:rFonts w:hint="eastAsia"/>
              </w:rPr>
              <w:t xml:space="preserve">历史记录的时间、来源和冲突适用性</w:t>
            </w:r>
          </w:p>
        </w:tc>
        <w:tc>
          <w:tcPr/>
          <w:p>
            <w:pPr>
              <w:pStyle w:val="Compact"/>
            </w:pPr>
            <w:r>
              <w:rPr>
                <w:rFonts w:hint="eastAsia"/>
              </w:rPr>
              <w:t xml:space="preserve">采用冻结的记忆输入规则作为背景实现</w:t>
            </w:r>
          </w:p>
        </w:tc>
        <w:tc>
          <w:tcPr/>
          <w:p>
            <w:pPr>
              <w:pStyle w:val="Compact"/>
            </w:pPr>
            <w:r>
              <w:rPr>
                <w:rFonts w:hint="eastAsia"/>
              </w:rPr>
              <w:t xml:space="preserve">不比较新的记忆检索和压缩算法</w:t>
            </w:r>
          </w:p>
        </w:tc>
      </w:tr>
      <w:tr>
        <w:tc>
          <w:tcPr/>
          <w:p>
            <w:pPr>
              <w:pStyle w:val="Compact"/>
            </w:pPr>
            <w:r>
              <w:rPr>
                <w:rFonts w:hint="eastAsia"/>
              </w:rPr>
              <w:t xml:space="preserve">行动后验证与结构化反思</w:t>
            </w:r>
          </w:p>
        </w:tc>
        <w:tc>
          <w:tcPr/>
          <w:p>
            <w:pPr>
              <w:pStyle w:val="Compact"/>
            </w:pPr>
            <w:r>
              <w:rPr>
                <w:rFonts w:hint="eastAsia"/>
              </w:rPr>
              <w:t xml:space="preserve">反馈如何支持纠错与减少复发</w:t>
            </w:r>
          </w:p>
        </w:tc>
        <w:tc>
          <w:tcPr/>
          <w:p>
            <w:pPr>
              <w:pStyle w:val="Compact"/>
            </w:pPr>
            <w:r>
              <w:rPr>
                <w:rFonts w:hint="eastAsia"/>
              </w:rPr>
              <w:t xml:space="preserve">冻结反馈组件，考察与约束和认识状态的交互</w:t>
            </w:r>
          </w:p>
        </w:tc>
        <w:tc>
          <w:tcPr/>
          <w:p>
            <w:pPr>
              <w:pStyle w:val="Compact"/>
            </w:pPr>
            <w:r>
              <w:rPr>
                <w:rFonts w:hint="eastAsia"/>
              </w:rPr>
              <w:t xml:space="preserve">不把单组件反思收益再报一次</w:t>
            </w:r>
          </w:p>
        </w:tc>
      </w:tr>
      <w:tr>
        <w:tc>
          <w:tcPr/>
          <w:p>
            <w:pPr>
              <w:pStyle w:val="Compact"/>
            </w:pPr>
            <w:r>
              <w:rPr>
                <w:rFonts w:hint="eastAsia"/>
              </w:rPr>
              <w:t xml:space="preserve">可审计结论与完成声明</w:t>
            </w:r>
          </w:p>
        </w:tc>
        <w:tc>
          <w:tcPr/>
          <w:p>
            <w:pPr>
              <w:pStyle w:val="Compact"/>
            </w:pPr>
            <w:r>
              <w:rPr>
                <w:rFonts w:hint="eastAsia"/>
              </w:rPr>
              <w:t xml:space="preserve">交付主张与依据的对应关系</w:t>
            </w:r>
          </w:p>
        </w:tc>
        <w:tc>
          <w:tcPr/>
          <w:p>
            <w:pPr>
              <w:pStyle w:val="Compact"/>
            </w:pPr>
            <w:r>
              <w:rPr>
                <w:rFonts w:hint="eastAsia"/>
              </w:rPr>
              <w:t xml:space="preserve">使用同一输出评分规则</w:t>
            </w:r>
          </w:p>
        </w:tc>
        <w:tc>
          <w:tcPr/>
          <w:p>
            <w:pPr>
              <w:pStyle w:val="Compact"/>
            </w:pPr>
            <w:r>
              <w:rPr>
                <w:rFonts w:hint="eastAsia"/>
              </w:rPr>
              <w:t xml:space="preserve">不重新主张证据关联方法</w:t>
            </w:r>
          </w:p>
        </w:tc>
      </w:tr>
    </w:tbl>
    <w:p>
      <w:pPr>
        <w:pStyle w:val="BodyText"/>
      </w:pPr>
      <w:r>
        <w:rPr>
          <w:rFonts w:hint="eastAsia"/>
        </w:rPr>
        <w:t xml:space="preserve">上述稿件目前均属同一研究计划内的方法稿，不作为已发表实证来源。若后续共用任务或轨迹，应披露重叠范围并共同登记实验；本稿只报告新增交互问题，不能把相同结果拆成多篇相互独立的发现。若组合实验不能产生新的研究信息，应合并为综合章节而非强求独立发表。</w:t>
      </w:r>
    </w:p>
    <w:p>
      <w:pPr>
        <w:pStyle w:val="BodyText"/>
      </w:pPr>
      <w:r>
        <w:rPr>
          <w:rFonts w:hint="eastAsia"/>
        </w:rPr>
        <w:t xml:space="preserve">本次文献核验截至</w:t>
      </w:r>
      <w:r>
        <w:t xml:space="preserve"> 2026 </w:t>
      </w:r>
      <w:r>
        <w:rPr>
          <w:rFonts w:hint="eastAsia"/>
        </w:rPr>
        <w:t xml:space="preserve">年</w:t>
      </w:r>
      <w:r>
        <w:t xml:space="preserve"> 10 </w:t>
      </w:r>
      <w:r>
        <w:rPr>
          <w:rFonts w:hint="eastAsia"/>
        </w:rPr>
        <w:t xml:space="preserve">月</w:t>
      </w:r>
      <w:r>
        <w:t xml:space="preserve"> 4 </w:t>
      </w:r>
      <w:r>
        <w:rPr>
          <w:rFonts w:hint="eastAsia"/>
        </w:rPr>
        <w:t xml:space="preserve">日，采用定向检索。直接近邻进一步核对了相关方法章节，其他文献的使用范围限定在已读摘要或公开方法描述，详见配套说明。本稿不是系统综述，没有独立复现这些研究。</w:t>
      </w:r>
    </w:p>
    <w:bookmarkEnd w:id="24"/>
    <w:bookmarkEnd w:id="25"/>
    <w:bookmarkStart w:id="29" w:name="三层定义与研究假设"/>
    <w:p>
      <w:pPr>
        <w:pStyle w:val="Heading2"/>
      </w:pPr>
      <w:r>
        <w:t xml:space="preserve">3 </w:t>
      </w:r>
      <w:r>
        <w:rPr>
          <w:rFonts w:hint="eastAsia"/>
        </w:rPr>
        <w:t xml:space="preserve">三层定义与研究假设</w:t>
      </w:r>
    </w:p>
    <w:bookmarkStart w:id="26" w:name="将价值期待转为可测量机制"/>
    <w:p>
      <w:pPr>
        <w:pStyle w:val="Heading3"/>
      </w:pPr>
      <w:r>
        <w:t xml:space="preserve">3.1 </w:t>
      </w:r>
      <w:r>
        <w:rPr>
          <w:rFonts w:hint="eastAsia"/>
        </w:rPr>
        <w:t xml:space="preserve">将价值期待转为可测量机制</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路线中的表达</w:t>
            </w:r>
          </w:p>
        </w:tc>
        <w:tc>
          <w:tcPr/>
          <w:p>
            <w:pPr>
              <w:pStyle w:val="Compact"/>
            </w:pPr>
            <w:r>
              <w:rPr>
                <w:rFonts w:hint="eastAsia"/>
              </w:rPr>
              <w:t xml:space="preserve">本文操作性定义</w:t>
            </w:r>
          </w:p>
        </w:tc>
        <w:tc>
          <w:tcPr/>
          <w:p>
            <w:pPr>
              <w:pStyle w:val="Compact"/>
            </w:pPr>
            <w:r>
              <w:rPr>
                <w:rFonts w:hint="eastAsia"/>
              </w:rPr>
              <w:t xml:space="preserve">可观察记录</w:t>
            </w:r>
          </w:p>
        </w:tc>
        <w:tc>
          <w:tcPr/>
          <w:p>
            <w:pPr>
              <w:pStyle w:val="Compact"/>
            </w:pPr>
            <w:r>
              <w:rPr>
                <w:rFonts w:hint="eastAsia"/>
              </w:rPr>
              <w:t xml:space="preserve">不允许推出的结论</w:t>
            </w:r>
          </w:p>
        </w:tc>
      </w:tr>
      <w:tr>
        <w:tc>
          <w:tcPr/>
          <w:p>
            <w:pPr>
              <w:pStyle w:val="Compact"/>
            </w:pPr>
            <w:r>
              <w:rPr>
                <w:rFonts w:hint="eastAsia"/>
              </w:rPr>
              <w:t xml:space="preserve">荣辱观</w:t>
            </w:r>
          </w:p>
        </w:tc>
        <w:tc>
          <w:tcPr/>
          <w:p>
            <w:pPr>
              <w:pStyle w:val="Compact"/>
            </w:pPr>
            <w:r>
              <w:rPr>
                <w:rFonts w:hint="eastAsia"/>
              </w:rPr>
              <w:t xml:space="preserve">约束层</w:t>
            </w:r>
            <w:r>
              <w:t xml:space="preserve"> </w:t>
            </w:r>
            <w:r>
              <w:rPr>
                <w:rFonts w:hint="eastAsia"/>
              </w:rPr>
              <w:t xml:space="preserve">C：允许、禁止、前置条件和报告义务</w:t>
            </w:r>
          </w:p>
        </w:tc>
        <w:tc>
          <w:tcPr/>
          <w:p>
            <w:pPr>
              <w:pStyle w:val="Compact"/>
            </w:pPr>
            <w:r>
              <w:rPr>
                <w:rFonts w:hint="eastAsia"/>
              </w:rPr>
              <w:t xml:space="preserve">规则版本、动作提案、阻断理由</w:t>
            </w:r>
          </w:p>
        </w:tc>
        <w:tc>
          <w:tcPr/>
          <w:p>
            <w:pPr>
              <w:pStyle w:val="Compact"/>
            </w:pPr>
            <w:r>
              <w:rPr>
                <w:rFonts w:hint="eastAsia"/>
              </w:rPr>
              <w:t xml:space="preserve">模型具有羞耻感、责任心或道德人格</w:t>
            </w:r>
          </w:p>
        </w:tc>
      </w:tr>
      <w:tr>
        <w:tc>
          <w:tcPr/>
          <w:p>
            <w:pPr>
              <w:pStyle w:val="Compact"/>
            </w:pPr>
            <w:r>
              <w:rPr>
                <w:rFonts w:hint="eastAsia"/>
              </w:rPr>
              <w:t xml:space="preserve">第一性原理</w:t>
            </w:r>
          </w:p>
        </w:tc>
        <w:tc>
          <w:tcPr/>
          <w:p>
            <w:pPr>
              <w:pStyle w:val="Compact"/>
            </w:pPr>
            <w:r>
              <w:rPr>
                <w:rFonts w:hint="eastAsia"/>
              </w:rPr>
              <w:t xml:space="preserve">认识状态层</w:t>
            </w:r>
            <w:r>
              <w:t xml:space="preserve"> </w:t>
            </w:r>
            <w:r>
              <w:rPr>
                <w:rFonts w:hint="eastAsia"/>
              </w:rPr>
              <w:t xml:space="preserve">K：要求、已支持事实、假设与待查项分离</w:t>
            </w:r>
          </w:p>
        </w:tc>
        <w:tc>
          <w:tcPr/>
          <w:p>
            <w:pPr>
              <w:pStyle w:val="Compact"/>
            </w:pPr>
            <w:r>
              <w:rPr>
                <w:rFonts w:hint="eastAsia"/>
              </w:rPr>
              <w:t xml:space="preserve">来源、适用条件、未知字段、核查结果</w:t>
            </w:r>
          </w:p>
        </w:tc>
        <w:tc>
          <w:tcPr/>
          <w:p>
            <w:pPr>
              <w:pStyle w:val="Compact"/>
            </w:pPr>
            <w:r>
              <w:rPr>
                <w:rFonts w:hint="eastAsia"/>
              </w:rPr>
              <w:t xml:space="preserve">模型已经掌握世界的根本原理</w:t>
            </w:r>
          </w:p>
        </w:tc>
      </w:tr>
      <w:tr>
        <w:tc>
          <w:tcPr/>
          <w:p>
            <w:pPr>
              <w:pStyle w:val="Compact"/>
            </w:pPr>
            <w:r>
              <w:rPr>
                <w:rFonts w:hint="eastAsia"/>
              </w:rPr>
              <w:t xml:space="preserve">三省吾身</w:t>
            </w:r>
          </w:p>
        </w:tc>
        <w:tc>
          <w:tcPr/>
          <w:p>
            <w:pPr>
              <w:pStyle w:val="Compact"/>
            </w:pPr>
            <w:r>
              <w:rPr>
                <w:rFonts w:hint="eastAsia"/>
              </w:rPr>
              <w:t xml:space="preserve">反馈层</w:t>
            </w:r>
            <w:r>
              <w:t xml:space="preserve"> </w:t>
            </w:r>
            <w:r>
              <w:rPr>
                <w:rFonts w:hint="eastAsia"/>
              </w:rPr>
              <w:t xml:space="preserve">F：比较预测与观测，提出有限修正并检查结果</w:t>
            </w:r>
          </w:p>
        </w:tc>
        <w:tc>
          <w:tcPr/>
          <w:p>
            <w:pPr>
              <w:pStyle w:val="Compact"/>
            </w:pPr>
            <w:r>
              <w:rPr>
                <w:rFonts w:hint="eastAsia"/>
              </w:rPr>
              <w:t xml:space="preserve">预测、差异、修正、复验和停止原因</w:t>
            </w:r>
          </w:p>
        </w:tc>
        <w:tc>
          <w:tcPr/>
          <w:p>
            <w:pPr>
              <w:pStyle w:val="Compact"/>
            </w:pPr>
            <w:r>
              <w:rPr>
                <w:rFonts w:hint="eastAsia"/>
              </w:rPr>
              <w:t xml:space="preserve">自我批评越长，纠错能力越强</w:t>
            </w:r>
          </w:p>
        </w:tc>
      </w:tr>
    </w:tbl>
    <w:p>
      <w:pPr>
        <w:pStyle w:val="BodyText"/>
      </w:pPr>
      <w:r>
        <w:rPr>
          <w:rFonts w:hint="eastAsia"/>
        </w:rPr>
        <w:t xml:space="preserve">三层是可独立切换的工程组件，不是大脑结构假说。字母只用于实验条件标记，避免将文化口号作为隐含奖励信号。主实验不要求模型生成道德评价，也不把“承认错误”的措辞作为正确性指标。</w:t>
      </w:r>
    </w:p>
    <w:bookmarkEnd w:id="26"/>
    <w:bookmarkStart w:id="27" w:name="状态与动作接口"/>
    <w:p>
      <w:pPr>
        <w:pStyle w:val="Heading3"/>
      </w:pPr>
      <w:r>
        <w:t xml:space="preserve">3.2 </w:t>
      </w:r>
      <w:r>
        <w:rPr>
          <w:rFonts w:hint="eastAsia"/>
        </w:rPr>
        <w:t xml:space="preserve">状态与动作接口</w:t>
      </w:r>
    </w:p>
    <w:p>
      <w:pPr>
        <w:pStyle w:val="FirstParagraph"/>
      </w:pPr>
      <w:r>
        <w:rPr>
          <w:rFonts w:hint="eastAsia"/>
        </w:rPr>
        <w:t xml:space="preserve">运行状态定义为</w:t>
      </w:r>
    </w:p>
    <w:p>
      <w:pPr>
        <w:pStyle w:val="BodyText"/>
      </w:pPr>
      <m:oMathPara>
        <m:oMathParaPr>
          <m:jc m:val="center"/>
        </m:oMathParaPr>
        <m:oMath>
          <m:sSub>
            <m:e>
              <m:r>
                <m:t>S</m:t>
              </m:r>
            </m:e>
            <m:sub>
              <m:r>
                <m:t>t</m:t>
              </m:r>
            </m:sub>
          </m:sSub>
          <m:r>
            <m:rPr>
              <m:sty m:val="p"/>
            </m:rPr>
            <m:t>=</m:t>
          </m:r>
          <m:r>
            <m:rPr>
              <m:sty m:val="p"/>
            </m:rPr>
            <m:t>(</m:t>
          </m:r>
          <m:sSub>
            <m:e>
              <m:r>
                <m:t>X</m:t>
              </m:r>
            </m:e>
            <m:sub>
              <m:r>
                <m:t>t</m:t>
              </m:r>
            </m:sub>
          </m:sSub>
          <m:r>
            <m:rPr>
              <m:sty m:val="p"/>
            </m:rPr>
            <m:t>,</m:t>
          </m:r>
          <m:sSub>
            <m:e>
              <m:r>
                <m:t>R</m:t>
              </m:r>
            </m:e>
            <m:sub>
              <m:r>
                <m:t>t</m:t>
              </m:r>
            </m:sub>
          </m:sSub>
          <m:r>
            <m:rPr>
              <m:sty m:val="p"/>
            </m:rPr>
            <m:t>,</m:t>
          </m:r>
          <m:sSub>
            <m:e>
              <m:r>
                <m:t>K</m:t>
              </m:r>
            </m:e>
            <m:sub>
              <m:r>
                <m:t>t</m:t>
              </m:r>
            </m:sub>
          </m:sSub>
          <m:r>
            <m:rPr>
              <m:sty m:val="p"/>
            </m:rPr>
            <m:t>,</m:t>
          </m:r>
          <m:sSub>
            <m:e>
              <m:r>
                <m:t>H</m:t>
              </m:r>
            </m:e>
            <m:sub>
              <m:r>
                <m:t>t</m:t>
              </m:r>
            </m:sub>
          </m:sSub>
          <m:r>
            <m:rPr>
              <m:sty m:val="p"/>
            </m:rPr>
            <m:t>,</m:t>
          </m:r>
          <m:sSub>
            <m:e>
              <m:r>
                <m:t>B</m:t>
              </m:r>
            </m:e>
            <m:sub>
              <m:r>
                <m:t>t</m:t>
              </m:r>
            </m:sub>
          </m:sSub>
          <m:r>
            <m:rPr>
              <m:sty m:val="p"/>
            </m:rPr>
            <m:t>)</m:t>
          </m:r>
          <m:r>
            <m:rPr>
              <m:sty m:val="p"/>
            </m:rPr>
            <m:t>,</m:t>
          </m:r>
        </m:oMath>
      </m:oMathPara>
    </w:p>
    <w:p>
      <w:pPr>
        <w:pStyle w:val="FirstParagraph"/>
      </w:pPr>
      <w:r>
        <w:rPr>
          <w:rFonts w:hint="eastAsia"/>
        </w:rPr>
        <w:t xml:space="preserve">其中</w:t>
      </w:r>
      <w:r>
        <w:t xml:space="preserve"> </w:t>
      </w:r>
      <m:oMath>
        <m:sSub>
          <m:e>
            <m:r>
              <m:t>X</m:t>
            </m:r>
          </m:e>
          <m:sub>
            <m:r>
              <m:t>t</m:t>
            </m:r>
          </m:sub>
        </m:sSub>
      </m:oMath>
      <w:r>
        <w:t xml:space="preserve"> </w:t>
      </w:r>
      <w:r>
        <w:rPr>
          <w:rFonts w:hint="eastAsia"/>
        </w:rPr>
        <w:t xml:space="preserve">是可复位工具环境，</w:t>
      </w:r>
      <m:oMath>
        <m:sSub>
          <m:e>
            <m:r>
              <m:t>R</m:t>
            </m:r>
          </m:e>
          <m:sub>
            <m:r>
              <m:t>t</m:t>
            </m:r>
          </m:sub>
        </m:sSub>
      </m:oMath>
      <w:r>
        <w:t xml:space="preserve"> </w:t>
      </w:r>
      <w:r>
        <w:rPr>
          <w:rFonts w:hint="eastAsia"/>
        </w:rPr>
        <w:t xml:space="preserve">是当前规则及任务版本，</w:t>
      </w:r>
      <m:oMath>
        <m:sSub>
          <m:e>
            <m:r>
              <m:t>K</m:t>
            </m:r>
          </m:e>
          <m:sub>
            <m:r>
              <m:t>t</m:t>
            </m:r>
          </m:sub>
        </m:sSub>
      </m:oMath>
      <w:r>
        <w:t xml:space="preserve"> </w:t>
      </w:r>
      <w:r>
        <w:rPr>
          <w:rFonts w:hint="eastAsia"/>
        </w:rPr>
        <w:t xml:space="preserve">是认识记录，</w:t>
      </w:r>
      <m:oMath>
        <m:sSub>
          <m:e>
            <m:r>
              <m:t>H</m:t>
            </m:r>
          </m:e>
          <m:sub>
            <m:r>
              <m:t>t</m:t>
            </m:r>
          </m:sub>
        </m:sSub>
      </m:oMath>
      <w:r>
        <w:t xml:space="preserve"> </w:t>
      </w:r>
      <w:r>
        <w:rPr>
          <w:rFonts w:hint="eastAsia"/>
        </w:rPr>
        <w:t xml:space="preserve">是可观察行动历史，</w:t>
      </w:r>
      <m:oMath>
        <m:sSub>
          <m:e>
            <m:r>
              <m:t>B</m:t>
            </m:r>
          </m:e>
          <m:sub>
            <m:r>
              <m:t>t</m:t>
            </m:r>
          </m:sub>
        </m:sSub>
      </m:oMath>
      <w:r>
        <w:t xml:space="preserve"> </w:t>
      </w:r>
      <w:r>
        <w:rPr>
          <w:rFonts w:hint="eastAsia"/>
        </w:rPr>
        <w:t xml:space="preserve">是剩余资源。动作提案</w:t>
      </w:r>
      <w:r>
        <w:t xml:space="preserve"> </w:t>
      </w:r>
      <m:oMath>
        <m:sSub>
          <m:e>
            <m:r>
              <m:t>a</m:t>
            </m:r>
          </m:e>
          <m:sub>
            <m:r>
              <m:t>t</m:t>
            </m:r>
          </m:sub>
        </m:sSub>
      </m:oMath>
      <w:r>
        <w:t xml:space="preserve"> </w:t>
      </w:r>
      <w:r>
        <w:rPr>
          <w:rFonts w:hint="eastAsia"/>
        </w:rPr>
        <w:t xml:space="preserve">包括动作类型、参数、预期改变、依赖信息和必要前置条件。提案仅是请求，不代表执行已经发生。</w:t>
      </w:r>
    </w:p>
    <w:p>
      <w:pPr>
        <w:pStyle w:val="BodyText"/>
      </w:pPr>
      <w:r>
        <w:rPr>
          <w:rFonts w:hint="eastAsia"/>
        </w:rPr>
        <w:t xml:space="preserve">认识条目包含陈述、来源定位、适用范围、版本和状态。状态为已支持、待查、被反驳或存在冲突。“已支持”仅指目前的指定检查支持该陈述；没有检查发现错误，不自动升级为已支持。原始工具结果与模型解释分开保存，多个组件重复引用同一结果仍只是一份来源。</w:t>
      </w:r>
    </w:p>
    <w:p>
      <w:pPr>
        <w:pStyle w:val="BodyText"/>
      </w:pPr>
      <w:r>
        <w:rPr>
          <w:rFonts w:hint="eastAsia"/>
        </w:rPr>
        <w:t xml:space="preserve">反馈记录包含先前预测、实际观测、差异、原因假设、建议动作和复验条件。反馈器可以提出修改</w:t>
      </w:r>
      <w:r>
        <w:t xml:space="preserve"> </w:t>
      </w:r>
      <m:oMath>
        <m:sSub>
          <m:e>
            <m:r>
              <m:t>K</m:t>
            </m:r>
          </m:e>
          <m:sub>
            <m:r>
              <m:t>t</m:t>
            </m:r>
          </m:sub>
        </m:sSub>
      </m:oMath>
      <w:r>
        <w:t xml:space="preserve"> </w:t>
      </w:r>
      <w:r>
        <w:rPr>
          <w:rFonts w:hint="eastAsia"/>
        </w:rPr>
        <w:t xml:space="preserve">的申请，不能直接把自己生成的原因升级为事实，更不能修改</w:t>
      </w:r>
      <w:r>
        <w:t xml:space="preserve"> </w:t>
      </w:r>
      <m:oMath>
        <m:sSub>
          <m:e>
            <m:r>
              <m:t>R</m:t>
            </m:r>
          </m:e>
          <m:sub>
            <m:r>
              <m:t>t</m:t>
            </m:r>
          </m:sub>
        </m:sSub>
      </m:oMath>
      <w:r>
        <w:rPr>
          <w:rFonts w:hint="eastAsia"/>
        </w:rPr>
        <w:t xml:space="preserve">。信息来源与信任等级由接口记录，不能由文本自称身份决定。</w:t>
      </w:r>
    </w:p>
    <w:bookmarkEnd w:id="27"/>
    <w:bookmarkStart w:id="28" w:name="可检验假设"/>
    <w:p>
      <w:pPr>
        <w:pStyle w:val="Heading3"/>
      </w:pPr>
      <w:r>
        <w:t xml:space="preserve">3.3 </w:t>
      </w:r>
      <w:r>
        <w:rPr>
          <w:rFonts w:hint="eastAsia"/>
        </w:rPr>
        <w:t xml:space="preserve">可检验假设</w:t>
      </w:r>
    </w:p>
    <w:p>
      <w:pPr>
        <w:pStyle w:val="FirstParagraph"/>
      </w:pPr>
      <w:r>
        <w:rPr>
          <w:rFonts w:hint="eastAsia"/>
        </w:rPr>
        <w:t xml:space="preserve">H1：在约束层开启时，认识状态管理与反馈修正的联合收益超过各自收益的简单相加。反例是交互为零或负，表明它们冗余或互相干扰。</w:t>
      </w:r>
    </w:p>
    <w:p>
      <w:pPr>
        <w:pStyle w:val="BodyText"/>
      </w:pPr>
      <w:r>
        <w:rPr>
          <w:rFonts w:hint="eastAsia"/>
        </w:rPr>
        <w:t xml:space="preserve">H2：相较开发阶段选定并冻结的最强双组件条件，三层完整条件在相同总预算下提高联合任务成功率。若主要变化只是更多阻断或更多调用，H2</w:t>
      </w:r>
      <w:r>
        <w:t xml:space="preserve"> </w:t>
      </w:r>
      <w:r>
        <w:rPr>
          <w:rFonts w:hint="eastAsia"/>
        </w:rPr>
        <w:t xml:space="preserve">不成立。</w:t>
      </w:r>
    </w:p>
    <w:p>
      <w:pPr>
        <w:pStyle w:val="BodyText"/>
      </w:pPr>
      <w:r>
        <w:rPr>
          <w:rFonts w:hint="eastAsia"/>
        </w:rPr>
        <w:t xml:space="preserve">H3：未经核对的反馈升级、规则和状态版本不一致、重复查询竞争预算，是可在干预中辨识的组合失败来源。日志中同时出现两个组件不能证明因果，需进一步通过共享检查点和局部替换检验。</w:t>
      </w:r>
    </w:p>
    <w:p>
      <w:pPr>
        <w:pStyle w:val="BodyText"/>
      </w:pPr>
      <w:r>
        <w:rPr>
          <w:rFonts w:hint="eastAsia"/>
        </w:rPr>
        <w:t xml:space="preserve">H4：三层效果受任务歧义、反馈噪声与预算紧张程度调节。若只能在预先精确标注的输入上成立，应将其限定为结构化环境中的结果。全部假设尚待实验，不能由框架图或术语定义得出。</w:t>
      </w:r>
    </w:p>
    <w:bookmarkEnd w:id="28"/>
    <w:bookmarkEnd w:id="29"/>
    <w:bookmarkStart w:id="34" w:name="联合框架与接口约定"/>
    <w:p>
      <w:pPr>
        <w:pStyle w:val="Heading2"/>
      </w:pPr>
      <w:r>
        <w:t xml:space="preserve">4 </w:t>
      </w:r>
      <w:r>
        <w:rPr>
          <w:rFonts w:hint="eastAsia"/>
        </w:rPr>
        <w:t xml:space="preserve">联合框架与接口约定</w:t>
      </w:r>
    </w:p>
    <w:bookmarkStart w:id="30" w:name="约束层判断特定动作能否继续"/>
    <w:p>
      <w:pPr>
        <w:pStyle w:val="Heading3"/>
      </w:pPr>
      <w:r>
        <w:t xml:space="preserve">4.1 </w:t>
      </w:r>
      <w:r>
        <w:rPr>
          <w:rFonts w:hint="eastAsia"/>
        </w:rPr>
        <w:t xml:space="preserve">约束层：判断特定动作能否继续</w:t>
      </w:r>
    </w:p>
    <w:p>
      <w:pPr>
        <w:pStyle w:val="FirstParagraph"/>
      </w:pPr>
      <w:r>
        <w:rPr>
          <w:rFonts w:hint="eastAsia"/>
        </w:rPr>
        <w:t xml:space="preserve">约束层读取任务和规则的已冻结版本，检查拟执行动作是否满足公开的条件。第一阶段采用可确定判断的范围、对象、工具参数和顺序要求，例如只可修改工作副本、操作对象必须匹配任务编号、导出前必须完成指定字段检查。业务要求只来自任务提供方或预设规则，模型不得事后降低完成标准。</w:t>
      </w:r>
    </w:p>
    <w:p>
      <w:pPr>
        <w:pStyle w:val="BodyText"/>
      </w:pPr>
      <w:r>
        <w:rPr>
          <w:rFonts w:hint="eastAsia"/>
        </w:rPr>
        <w:t xml:space="preserve">检查返回允许、禁止或条件不足。条件不足与明确禁止不同：前者可以触发一次合法信息查询，后者要求放弃该提案或改用符合规则的路径。基础操作系统权限和实验隔离在所有条件下都保留，关闭研究中的约束层只改变模拟业务条件的执行方式，不打开真实外部操作权限。</w:t>
      </w:r>
    </w:p>
    <w:p>
      <w:pPr>
        <w:pStyle w:val="BodyText"/>
      </w:pPr>
      <w:r>
        <w:rPr>
          <w:rFonts w:hint="eastAsia"/>
        </w:rPr>
        <w:t xml:space="preserve">可执行规则只能覆盖其编码范围。对“写得有说服力”等无法直接判定的要求，规则应保留人工或独立评分义务，不能假装一个布尔字段已解决语义问题。规则引擎本身也可能误配置，故其错误阻断必须被独立评分。</w:t>
      </w:r>
    </w:p>
    <w:bookmarkEnd w:id="30"/>
    <w:bookmarkStart w:id="31" w:name="认识状态层判断继续所缺的依据"/>
    <w:p>
      <w:pPr>
        <w:pStyle w:val="Heading3"/>
      </w:pPr>
      <w:r>
        <w:t xml:space="preserve">4.2 </w:t>
      </w:r>
      <w:r>
        <w:rPr>
          <w:rFonts w:hint="eastAsia"/>
        </w:rPr>
        <w:t xml:space="preserve">认识状态层：判断继续所缺的依据</w:t>
      </w:r>
    </w:p>
    <w:p>
      <w:pPr>
        <w:pStyle w:val="FirstParagraph"/>
      </w:pPr>
      <w:r>
        <w:rPr>
          <w:rFonts w:hint="eastAsia"/>
        </w:rPr>
        <w:t xml:space="preserve">认识状态层首先区分任务已经给出的条件、工具直接观察到的信息、模型推断和未知项。它只核查对下一动作或最终输出有必要影响的缺口，避免把所有可想到的问题都变成待办。相关性依据是公开任务及动作前置条件，不能使用隐藏答案判断“这次核查值不值得”。</w:t>
      </w:r>
    </w:p>
    <w:p>
      <w:pPr>
        <w:pStyle w:val="BodyText"/>
      </w:pPr>
      <w:r>
        <w:rPr>
          <w:rFonts w:hint="eastAsia"/>
        </w:rPr>
        <w:t xml:space="preserve">相同问题、来源版本、查询参数与时间范围形成核查键。若已有适用结果则复用；若相关对象或规则改变则重新核查。遇到相互冲突的来源时，保存冲突，不把多组件赞同解释成独立确认。概率预测可用于排序核查需求，但不能越过明确规则或替代证据。</w:t>
      </w:r>
    </w:p>
    <w:p>
      <w:pPr>
        <w:pStyle w:val="BodyText"/>
      </w:pPr>
      <w:r>
        <w:rPr>
          <w:rFonts w:hint="eastAsia"/>
        </w:rPr>
        <w:t xml:space="preserve">该层不改造长期记忆检索。本文为全部条件提供同一冻结检索器和原始历史访问能力，变量是这些信息是否形成显式认识状态、是否用于约束下一动作。这样才能区分认识状态管理与额外数据访问带来的收益。</w:t>
      </w:r>
    </w:p>
    <w:bookmarkEnd w:id="31"/>
    <w:bookmarkStart w:id="32" w:name="反馈层修正提案不能重写观察"/>
    <w:p>
      <w:pPr>
        <w:pStyle w:val="Heading3"/>
      </w:pPr>
      <w:r>
        <w:t xml:space="preserve">4.3 </w:t>
      </w:r>
      <w:r>
        <w:rPr>
          <w:rFonts w:hint="eastAsia"/>
        </w:rPr>
        <w:t xml:space="preserve">反馈层：修正提案，不能重写观察</w:t>
      </w:r>
    </w:p>
    <w:p>
      <w:pPr>
        <w:pStyle w:val="FirstParagraph"/>
      </w:pPr>
      <w:r>
        <w:rPr>
          <w:rFonts w:hint="eastAsia"/>
        </w:rPr>
        <w:t xml:space="preserve">执行后的观测首先进入只追加的记录，再由反馈层比较与先前预测的差异。模型提出原因假设及修正提案，必要时要求区分性检查。反馈器不修改原始观测，不更新隐藏评分，也不能决定某个实验样本应从统计中删除。</w:t>
      </w:r>
    </w:p>
    <w:p>
      <w:pPr>
        <w:pStyle w:val="BodyText"/>
      </w:pPr>
      <w:r>
        <w:rPr>
          <w:rFonts w:hint="eastAsia"/>
        </w:rPr>
        <w:t xml:space="preserve">修正后再次获得观测。仅在</w:t>
      </w:r>
      <w:r>
        <w:t xml:space="preserve"> K </w:t>
      </w:r>
      <w:r>
        <w:rPr>
          <w:rFonts w:hint="eastAsia"/>
        </w:rPr>
        <w:t xml:space="preserve">开启时，认识状态层才依据观测更新“已支持、待查、冲突”等显式状态；K</w:t>
      </w:r>
      <w:r>
        <w:t xml:space="preserve"> </w:t>
      </w:r>
      <w:r>
        <w:rPr>
          <w:rFonts w:hint="eastAsia"/>
        </w:rPr>
        <w:t xml:space="preserve">关闭而</w:t>
      </w:r>
      <w:r>
        <w:t xml:space="preserve"> F </w:t>
      </w:r>
      <w:r>
        <w:rPr>
          <w:rFonts w:hint="eastAsia"/>
        </w:rPr>
        <w:t xml:space="preserve">开启时，反馈层输出附原始观测编号的修正建议，交给普通执行器，不建立或维护这些状态。没有新证据时，反馈层不能把原因假设写成已确认事实。第一阶段每任务最多两轮反馈修正，使用固定长度的最近记录，不允许测试任务之间共享反思内容。停止条件包括达到公开完成条件、预算耗尽、修正轮数上限或工具不可恢复；停止原因本身不等于任务成功。</w:t>
      </w:r>
    </w:p>
    <w:p>
      <w:pPr>
        <w:pStyle w:val="BodyText"/>
      </w:pPr>
      <w:r>
        <w:rPr>
          <w:rFonts w:hint="eastAsia"/>
        </w:rPr>
        <w:t xml:space="preserve">本文中的反馈校准包含两项可测量行为：根据新证据调整认识状态，以及比较事前概率与实际结果。它不指模型参数训练。任何从开发数据拟合的概率校准器、阈值或经验规则都须在正式任务前冻结，禁止边看测试答案边调整。</w:t>
      </w:r>
    </w:p>
    <w:bookmarkEnd w:id="32"/>
    <w:bookmarkStart w:id="33" w:name="组合次序与冲突处理"/>
    <w:p>
      <w:pPr>
        <w:pStyle w:val="Heading3"/>
      </w:pPr>
      <w:r>
        <w:t xml:space="preserve">4.4 </w:t>
      </w:r>
      <w:r>
        <w:rPr>
          <w:rFonts w:hint="eastAsia"/>
        </w:rPr>
        <w:t xml:space="preserve">组合次序与冲突处理</w:t>
      </w:r>
    </w:p>
    <w:p>
      <w:pPr>
        <w:pStyle w:val="FirstParagraph"/>
      </w:pPr>
      <w:r>
        <w:rPr>
          <w:rFonts w:hint="eastAsia"/>
        </w:rPr>
        <w:t xml:space="preserve">协调器先检查显式禁止，再识别可通过查询补齐的前置条件，最后执行允许的动作。信息查询也是动作，仍受约束层检查。反馈器不能通过声称“为了纠错”绕过约束。如果必要信息不可获取，系统交付已有结果并说明未完成部分，或按任务规定拒答；不得自动把未知改为通过。</w:t>
      </w:r>
    </w:p>
    <w:p>
      <w:pPr>
        <w:pStyle w:val="BodyText"/>
      </w:pPr>
      <w:r>
        <w:rPr>
          <w:rFonts w:hint="eastAsia"/>
        </w:rPr>
        <w:t xml:space="preserve">跨层记录均携带任务、规则、对象和观测版本。动作发布前在模拟执行器内原子地核对所读版本与当前版本，核对与改变状态不可分离。版本变更时提案返回待复核，不把已经完成的旧检查当成新状态的依据。该要求只覆盖本文可控模拟器，不保证任意远程工具的外部副作用可回滚。</w:t>
      </w:r>
    </w:p>
    <w:p>
      <w:pPr>
        <w:pStyle w:val="BodyText"/>
      </w:pPr>
      <w:r>
        <w:rPr>
          <w:rFonts w:hint="eastAsia"/>
        </w:rPr>
        <w:t xml:space="preserve">同一核查键只保留一个待执行请求，多个组件可以引用其结果。异常时协调器按预设顺序选择继续、有限重试或停止，并记录发起者和原因。为了识别去重作用，所有全因子条件使用同一去重器；另以独立消融测试去重器，不能把它隐藏在“完整框架”的额外能力里。</w:t>
      </w:r>
    </w:p>
    <w:p>
      <w:pPr>
        <w:pStyle w:val="SourceCode"/>
      </w:pPr>
      <w:r>
        <w:rPr>
          <w:rStyle w:val="VerbatimChar"/>
          <w:rFonts w:hint="eastAsia"/>
        </w:rPr>
        <w:t xml:space="preserve">输入：任务规则、工具快照、历史数据、固定模型和资源上限</w:t>
      </w:r>
      <w:r>
        <w:br/>
      </w:r>
      <w:r>
        <w:rPr>
          <w:rStyle w:val="VerbatimChar"/>
          <w:rFonts w:hint="eastAsia"/>
        </w:rPr>
        <w:t xml:space="preserve">初始化版本化状态；保存所有条件共同可见的信息</w:t>
      </w:r>
      <w:r>
        <w:br/>
      </w:r>
      <w:r>
        <w:rPr>
          <w:rStyle w:val="VerbatimChar"/>
          <w:rFonts w:hint="eastAsia"/>
        </w:rPr>
        <w:t xml:space="preserve">重复：</w:t>
      </w:r>
      <w:r>
        <w:br/>
      </w:r>
      <w:r>
        <w:rPr>
          <w:rStyle w:val="VerbatimChar"/>
        </w:rPr>
        <w:t xml:space="preserve">    </w:t>
      </w:r>
      <w:r>
        <w:rPr>
          <w:rStyle w:val="VerbatimChar"/>
          <w:rFonts w:hint="eastAsia"/>
        </w:rPr>
        <w:t xml:space="preserve">生成动作提案及必要前置条件</w:t>
      </w:r>
      <w:r>
        <w:br/>
      </w:r>
      <w:r>
        <w:rPr>
          <w:rStyle w:val="VerbatimChar"/>
        </w:rPr>
        <w:t xml:space="preserve">    C </w:t>
      </w:r>
      <w:r>
        <w:rPr>
          <w:rStyle w:val="VerbatimChar"/>
          <w:rFonts w:hint="eastAsia"/>
        </w:rPr>
        <w:t xml:space="preserve">开启时执行模拟业务约束；否则保留规则文本供普通推理使用</w:t>
      </w:r>
      <w:r>
        <w:br/>
      </w:r>
      <w:r>
        <w:rPr>
          <w:rStyle w:val="VerbatimChar"/>
        </w:rPr>
        <w:t xml:space="preserve">    K </w:t>
      </w:r>
      <w:r>
        <w:rPr>
          <w:rStyle w:val="VerbatimChar"/>
          <w:rFonts w:hint="eastAsia"/>
        </w:rPr>
        <w:t xml:space="preserve">开启时核对所依赖信息的状态，形成去重后的必要核查</w:t>
      </w:r>
      <w:r>
        <w:br/>
      </w:r>
      <w:r>
        <w:rPr>
          <w:rStyle w:val="VerbatimChar"/>
        </w:rPr>
        <w:t xml:space="preserve">    </w:t>
      </w:r>
      <w:r>
        <w:rPr>
          <w:rStyle w:val="VerbatimChar"/>
          <w:rFonts w:hint="eastAsia"/>
        </w:rPr>
        <w:t xml:space="preserve">在相同权限与剩余预算内查询或执行，并保存原始结果</w:t>
      </w:r>
      <w:r>
        <w:br/>
      </w:r>
      <w:r>
        <w:rPr>
          <w:rStyle w:val="VerbatimChar"/>
        </w:rPr>
        <w:t xml:space="preserve">    F </w:t>
      </w:r>
      <w:r>
        <w:rPr>
          <w:rStyle w:val="VerbatimChar"/>
          <w:rFonts w:hint="eastAsia"/>
        </w:rPr>
        <w:t xml:space="preserve">开启时形成预测差异与修正建议；否则允许普通继续或重试</w:t>
      </w:r>
      <w:r>
        <w:br/>
      </w:r>
      <w:r>
        <w:rPr>
          <w:rStyle w:val="VerbatimChar"/>
        </w:rPr>
        <w:t xml:space="preserve">    K </w:t>
      </w:r>
      <w:r>
        <w:rPr>
          <w:rStyle w:val="VerbatimChar"/>
          <w:rFonts w:hint="eastAsia"/>
        </w:rPr>
        <w:t xml:space="preserve">开启且有可定位新观测时才允许显式认识状态升级</w:t>
      </w:r>
      <w:r>
        <w:br/>
      </w:r>
      <w:r>
        <w:rPr>
          <w:rStyle w:val="VerbatimChar"/>
        </w:rPr>
        <w:t xml:space="preserve">    K </w:t>
      </w:r>
      <w:r>
        <w:rPr>
          <w:rStyle w:val="VerbatimChar"/>
          <w:rFonts w:hint="eastAsia"/>
        </w:rPr>
        <w:t xml:space="preserve">关闭时由普通执行器读取附原始观测编号的反馈建议，不建立认识状态</w:t>
      </w:r>
      <w:r>
        <w:br/>
      </w:r>
      <w:r>
        <w:rPr>
          <w:rStyle w:val="VerbatimChar"/>
        </w:rPr>
        <w:t xml:space="preserve">    </w:t>
      </w:r>
      <w:r>
        <w:rPr>
          <w:rStyle w:val="VerbatimChar"/>
          <w:rFonts w:hint="eastAsia"/>
        </w:rPr>
        <w:t xml:space="preserve">状态改变后重新核对受影响提案，不允许反馈改写规则</w:t>
      </w:r>
      <w:r>
        <w:br/>
      </w:r>
      <w:r>
        <w:rPr>
          <w:rStyle w:val="VerbatimChar"/>
          <w:rFonts w:hint="eastAsia"/>
        </w:rPr>
        <w:t xml:space="preserve">直到公开完成条件或预设停止条件成立</w:t>
      </w:r>
      <w:r>
        <w:br/>
      </w:r>
      <w:r>
        <w:rPr>
          <w:rStyle w:val="VerbatimChar"/>
          <w:rFonts w:hint="eastAsia"/>
        </w:rPr>
        <w:t xml:space="preserve">输出最终产物、未完成项、执行状态和资源记录</w:t>
      </w:r>
      <w:r>
        <w:br/>
      </w:r>
      <w:r>
        <w:rPr>
          <w:rStyle w:val="VerbatimChar"/>
          <w:rFonts w:hint="eastAsia"/>
        </w:rPr>
        <w:t xml:space="preserve">隐藏评分在运行结束后的隔离阶段执行</w:t>
      </w:r>
    </w:p>
    <w:p>
      <w:pPr>
        <w:pStyle w:val="FirstParagraph"/>
      </w:pPr>
      <w:r>
        <w:rPr>
          <w:rFonts w:hint="eastAsia"/>
        </w:rPr>
        <w:t xml:space="preserve">这段流程描述拟实现接口，尚未成为经过测试的系统。关闭某层时仍保留底层原始记录与基本日志，避免把“没有日志”混同于“没有该机制”。八条件的接口职责如下；C</w:t>
      </w:r>
      <w:r>
        <w:t xml:space="preserve"> </w:t>
      </w:r>
      <w:r>
        <w:rPr>
          <w:rFonts w:hint="eastAsia"/>
        </w:rPr>
        <w:t xml:space="preserve">只决定是否在模拟业务动作边界执行规则，不能替</w:t>
      </w:r>
      <w:r>
        <w:t xml:space="preserve"> K </w:t>
      </w:r>
      <w:r>
        <w:rPr>
          <w:rFonts w:hint="eastAsia"/>
        </w:rPr>
        <w:t xml:space="preserve">或</w:t>
      </w:r>
      <w:r>
        <w:t xml:space="preserve"> F </w:t>
      </w:r>
      <w:r>
        <w:rPr>
          <w:rFonts w:hint="eastAsia"/>
        </w:rPr>
        <w:t xml:space="preserve">更新认识状态。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条件</w:t>
            </w:r>
            <w:r>
              <w:t xml:space="preserve"> C K F</w:t>
            </w:r>
          </w:p>
        </w:tc>
        <w:tc>
          <w:tcPr/>
          <w:p>
            <w:pPr>
              <w:pStyle w:val="Compact"/>
            </w:pPr>
            <w:r>
              <w:rPr>
                <w:rFonts w:hint="eastAsia"/>
              </w:rPr>
              <w:t xml:space="preserve">动作边界</w:t>
            </w:r>
          </w:p>
        </w:tc>
        <w:tc>
          <w:tcPr/>
          <w:p>
            <w:pPr>
              <w:pStyle w:val="Compact"/>
            </w:pPr>
            <w:r>
              <w:rPr>
                <w:rFonts w:hint="eastAsia"/>
              </w:rPr>
              <w:t xml:space="preserve">认识与反馈接口</w:t>
            </w:r>
          </w:p>
        </w:tc>
      </w:tr>
      <w:tr>
        <w:tc>
          <w:tcPr/>
          <w:p>
            <w:pPr>
              <w:pStyle w:val="Compact"/>
            </w:pPr>
            <w:r>
              <w:t xml:space="preserve">000</w:t>
            </w:r>
          </w:p>
        </w:tc>
        <w:tc>
          <w:tcPr/>
          <w:p>
            <w:pPr>
              <w:pStyle w:val="Compact"/>
            </w:pPr>
            <w:r>
              <w:rPr>
                <w:rFonts w:hint="eastAsia"/>
              </w:rPr>
              <w:t xml:space="preserve">规则文本供普通推理</w:t>
            </w:r>
          </w:p>
        </w:tc>
        <w:tc>
          <w:tcPr/>
          <w:p>
            <w:pPr>
              <w:pStyle w:val="Compact"/>
            </w:pPr>
            <w:r>
              <w:rPr>
                <w:rFonts w:hint="eastAsia"/>
              </w:rPr>
              <w:t xml:space="preserve">普通执行器读取原始观测并可重试</w:t>
            </w:r>
          </w:p>
        </w:tc>
      </w:tr>
      <w:tr>
        <w:tc>
          <w:tcPr/>
          <w:p>
            <w:pPr>
              <w:pStyle w:val="Compact"/>
            </w:pPr>
            <w:r>
              <w:t xml:space="preserve">100</w:t>
            </w:r>
          </w:p>
        </w:tc>
        <w:tc>
          <w:tcPr/>
          <w:p>
            <w:pPr>
              <w:pStyle w:val="Compact"/>
            </w:pPr>
            <w:r>
              <w:rPr>
                <w:rFonts w:hint="eastAsia"/>
              </w:rPr>
              <w:t xml:space="preserve">模拟业务规则执行</w:t>
            </w:r>
          </w:p>
        </w:tc>
        <w:tc>
          <w:tcPr/>
          <w:p>
            <w:pPr>
              <w:pStyle w:val="Compact"/>
            </w:pPr>
            <w:r>
              <w:rPr>
                <w:rFonts w:hint="eastAsia"/>
              </w:rPr>
              <w:t xml:space="preserve">普通执行器读取原始观测并可重试</w:t>
            </w:r>
          </w:p>
        </w:tc>
      </w:tr>
      <w:tr>
        <w:tc>
          <w:tcPr/>
          <w:p>
            <w:pPr>
              <w:pStyle w:val="Compact"/>
            </w:pPr>
            <w:r>
              <w:t xml:space="preserve">010</w:t>
            </w:r>
          </w:p>
        </w:tc>
        <w:tc>
          <w:tcPr/>
          <w:p>
            <w:pPr>
              <w:pStyle w:val="Compact"/>
            </w:pPr>
            <w:r>
              <w:rPr>
                <w:rFonts w:hint="eastAsia"/>
              </w:rPr>
              <w:t xml:space="preserve">规则文本供普通推理</w:t>
            </w:r>
          </w:p>
        </w:tc>
        <w:tc>
          <w:tcPr/>
          <w:p>
            <w:pPr>
              <w:pStyle w:val="Compact"/>
            </w:pPr>
            <w:r>
              <w:t xml:space="preserve">K </w:t>
            </w:r>
            <w:r>
              <w:rPr>
                <w:rFonts w:hint="eastAsia"/>
              </w:rPr>
              <w:t xml:space="preserve">维护显式认识状态；普通执行器可重试</w:t>
            </w:r>
          </w:p>
        </w:tc>
      </w:tr>
      <w:tr>
        <w:tc>
          <w:tcPr/>
          <w:p>
            <w:pPr>
              <w:pStyle w:val="Compact"/>
            </w:pPr>
            <w:r>
              <w:t xml:space="preserve">110</w:t>
            </w:r>
          </w:p>
        </w:tc>
        <w:tc>
          <w:tcPr/>
          <w:p>
            <w:pPr>
              <w:pStyle w:val="Compact"/>
            </w:pPr>
            <w:r>
              <w:rPr>
                <w:rFonts w:hint="eastAsia"/>
              </w:rPr>
              <w:t xml:space="preserve">模拟业务规则执行</w:t>
            </w:r>
          </w:p>
        </w:tc>
        <w:tc>
          <w:tcPr/>
          <w:p>
            <w:pPr>
              <w:pStyle w:val="Compact"/>
            </w:pPr>
            <w:r>
              <w:t xml:space="preserve">K </w:t>
            </w:r>
            <w:r>
              <w:rPr>
                <w:rFonts w:hint="eastAsia"/>
              </w:rPr>
              <w:t xml:space="preserve">维护显式认识状态；普通执行器可重试</w:t>
            </w:r>
          </w:p>
        </w:tc>
      </w:tr>
      <w:tr>
        <w:tc>
          <w:tcPr/>
          <w:p>
            <w:pPr>
              <w:pStyle w:val="Compact"/>
            </w:pPr>
            <w:r>
              <w:t xml:space="preserve">001</w:t>
            </w:r>
          </w:p>
        </w:tc>
        <w:tc>
          <w:tcPr/>
          <w:p>
            <w:pPr>
              <w:pStyle w:val="Compact"/>
            </w:pPr>
            <w:r>
              <w:rPr>
                <w:rFonts w:hint="eastAsia"/>
              </w:rPr>
              <w:t xml:space="preserve">规则文本供普通推理</w:t>
            </w:r>
          </w:p>
        </w:tc>
        <w:tc>
          <w:tcPr/>
          <w:p>
            <w:pPr>
              <w:pStyle w:val="Compact"/>
            </w:pPr>
            <w:r>
              <w:t xml:space="preserve">F </w:t>
            </w:r>
            <w:r>
              <w:rPr>
                <w:rFonts w:hint="eastAsia"/>
              </w:rPr>
              <w:t xml:space="preserve">给出附观测编号的建议；无显式认识状态</w:t>
            </w:r>
          </w:p>
        </w:tc>
      </w:tr>
      <w:tr>
        <w:tc>
          <w:tcPr/>
          <w:p>
            <w:pPr>
              <w:pStyle w:val="Compact"/>
            </w:pPr>
            <w:r>
              <w:t xml:space="preserve">101</w:t>
            </w:r>
          </w:p>
        </w:tc>
        <w:tc>
          <w:tcPr/>
          <w:p>
            <w:pPr>
              <w:pStyle w:val="Compact"/>
            </w:pPr>
            <w:r>
              <w:rPr>
                <w:rFonts w:hint="eastAsia"/>
              </w:rPr>
              <w:t xml:space="preserve">模拟业务规则执行</w:t>
            </w:r>
          </w:p>
        </w:tc>
        <w:tc>
          <w:tcPr/>
          <w:p>
            <w:pPr>
              <w:pStyle w:val="Compact"/>
            </w:pPr>
            <w:r>
              <w:t xml:space="preserve">F </w:t>
            </w:r>
            <w:r>
              <w:rPr>
                <w:rFonts w:hint="eastAsia"/>
              </w:rPr>
              <w:t xml:space="preserve">给出附观测编号的建议；无显式认识状态</w:t>
            </w:r>
          </w:p>
        </w:tc>
      </w:tr>
      <w:tr>
        <w:tc>
          <w:tcPr/>
          <w:p>
            <w:pPr>
              <w:pStyle w:val="Compact"/>
            </w:pPr>
            <w:r>
              <w:t xml:space="preserve">011</w:t>
            </w:r>
          </w:p>
        </w:tc>
        <w:tc>
          <w:tcPr/>
          <w:p>
            <w:pPr>
              <w:pStyle w:val="Compact"/>
            </w:pPr>
            <w:r>
              <w:rPr>
                <w:rFonts w:hint="eastAsia"/>
              </w:rPr>
              <w:t xml:space="preserve">规则文本供普通推理</w:t>
            </w:r>
          </w:p>
        </w:tc>
        <w:tc>
          <w:tcPr/>
          <w:p>
            <w:pPr>
              <w:pStyle w:val="Compact"/>
            </w:pPr>
            <w:r>
              <w:t xml:space="preserve">F </w:t>
            </w:r>
            <w:r>
              <w:rPr>
                <w:rFonts w:hint="eastAsia"/>
              </w:rPr>
              <w:t xml:space="preserve">提建议；K</w:t>
            </w:r>
            <w:r>
              <w:t xml:space="preserve"> </w:t>
            </w:r>
            <w:r>
              <w:rPr>
                <w:rFonts w:hint="eastAsia"/>
              </w:rPr>
              <w:t xml:space="preserve">依据新观测更新显式状态</w:t>
            </w:r>
          </w:p>
        </w:tc>
      </w:tr>
      <w:tr>
        <w:tc>
          <w:tcPr/>
          <w:p>
            <w:pPr>
              <w:pStyle w:val="Compact"/>
            </w:pPr>
            <w:r>
              <w:t xml:space="preserve">111</w:t>
            </w:r>
          </w:p>
        </w:tc>
        <w:tc>
          <w:tcPr/>
          <w:p>
            <w:pPr>
              <w:pStyle w:val="Compact"/>
            </w:pPr>
            <w:r>
              <w:rPr>
                <w:rFonts w:hint="eastAsia"/>
              </w:rPr>
              <w:t xml:space="preserve">模拟业务规则执行</w:t>
            </w:r>
          </w:p>
        </w:tc>
        <w:tc>
          <w:tcPr/>
          <w:p>
            <w:pPr>
              <w:pStyle w:val="Compact"/>
            </w:pPr>
            <w:r>
              <w:t xml:space="preserve">F </w:t>
            </w:r>
            <w:r>
              <w:rPr>
                <w:rFonts w:hint="eastAsia"/>
              </w:rPr>
              <w:t xml:space="preserve">提建议；K</w:t>
            </w:r>
            <w:r>
              <w:t xml:space="preserve"> </w:t>
            </w:r>
            <w:r>
              <w:rPr>
                <w:rFonts w:hint="eastAsia"/>
              </w:rPr>
              <w:t xml:space="preserve">依据新观测更新显式状态</w:t>
            </w:r>
          </w:p>
        </w:tc>
      </w:tr>
    </w:tbl>
    <w:p>
      <w:pPr>
        <w:pStyle w:val="BodyText"/>
      </w:pPr>
      <w:r>
        <w:rPr>
          <w:rFonts w:hint="eastAsia"/>
        </w:rPr>
        <w:t xml:space="preserve">共同日志、来源编号、防改写、版本核对、基础权限和预算计量独立于开关，八条件一致；否则关闭</w:t>
      </w:r>
      <w:r>
        <w:t xml:space="preserve"> K </w:t>
      </w:r>
      <w:r>
        <w:rPr>
          <w:rFonts w:hint="eastAsia"/>
        </w:rPr>
        <w:t xml:space="preserve">时可能连观测证据也被删掉，使因素比较失效。</w:t>
      </w:r>
    </w:p>
    <w:bookmarkEnd w:id="33"/>
    <w:bookmarkEnd w:id="34"/>
    <w:bookmarkStart w:id="38" w:name="条件性分析与组合失败"/>
    <w:p>
      <w:pPr>
        <w:pStyle w:val="Heading2"/>
      </w:pPr>
      <w:r>
        <w:t xml:space="preserve">5 </w:t>
      </w:r>
      <w:r>
        <w:rPr>
          <w:rFonts w:hint="eastAsia"/>
        </w:rPr>
        <w:t xml:space="preserve">条件性分析与组合失败</w:t>
      </w:r>
    </w:p>
    <w:bookmarkStart w:id="35" w:name="有限执行性质"/>
    <w:p>
      <w:pPr>
        <w:pStyle w:val="Heading3"/>
      </w:pPr>
      <w:r>
        <w:t xml:space="preserve">5.1 </w:t>
      </w:r>
      <w:r>
        <w:rPr>
          <w:rFonts w:hint="eastAsia"/>
        </w:rPr>
        <w:t xml:space="preserve">有限执行性质</w:t>
      </w:r>
    </w:p>
    <w:p>
      <w:pPr>
        <w:pStyle w:val="FirstParagraph"/>
      </w:pPr>
      <w:r>
        <w:rPr>
          <w:rFonts w:hint="eastAsia"/>
        </w:rPr>
        <w:t xml:space="preserve">假设所有影响环境的动作都经过同一执行器，规则评价器正确实现了已编码谓词，版本核对与执行原子完成，且</w:t>
      </w:r>
      <w:r>
        <w:t xml:space="preserve"> C </w:t>
      </w:r>
      <w:r>
        <w:rPr>
          <w:rFonts w:hint="eastAsia"/>
        </w:rPr>
        <w:t xml:space="preserve">开启。若某动作在执行时违反已编码的禁止谓词，则该动作不会被执行器接受。</w:t>
      </w:r>
    </w:p>
    <w:p>
      <w:pPr>
        <w:pStyle w:val="BodyText"/>
      </w:pPr>
      <w:r>
        <w:rPr>
          <w:rFonts w:hint="eastAsia"/>
        </w:rPr>
        <w:t xml:space="preserve">证明来自执行条件：执行器仅在全部适用禁止谓词为假且必要前置条件满足时接受动作；违反其中任一项就无法到达提交步骤。这个性质是接口约定的直接结果，不是新的安全定理。它不保证谓词描述了真实用户意图，不保证未编码约束，也不保证没有绕行接口或外部状态竞争。</w:t>
      </w:r>
    </w:p>
    <w:p>
      <w:pPr>
        <w:pStyle w:val="BodyText"/>
      </w:pPr>
      <w:r>
        <w:rPr>
          <w:rFonts w:hint="eastAsia"/>
        </w:rPr>
        <w:t xml:space="preserve">如果反馈建议只能写入待查区，并且状态升级需要合法观测引用，那么缺少该引用的反馈不会被规则层登记为“已支持”。该性质仅约束状态标签；虚假但格式正确的观测、错误支持判断和模型忽略标签仍可能导致失败，必须单独评测。</w:t>
      </w:r>
    </w:p>
    <w:bookmarkEnd w:id="35"/>
    <w:bookmarkStart w:id="36" w:name="更多限制不保证更高成功率"/>
    <w:p>
      <w:pPr>
        <w:pStyle w:val="Heading3"/>
      </w:pPr>
      <w:r>
        <w:t xml:space="preserve">5.2 </w:t>
      </w:r>
      <w:r>
        <w:rPr>
          <w:rFonts w:hint="eastAsia"/>
        </w:rPr>
        <w:t xml:space="preserve">更多限制不保证更高成功率</w:t>
      </w:r>
    </w:p>
    <w:p>
      <w:pPr>
        <w:pStyle w:val="FirstParagraph"/>
      </w:pPr>
      <w:r>
        <w:rPr>
          <w:rFonts w:hint="eastAsia"/>
        </w:rPr>
        <w:t xml:space="preserve">对同一状态与同一动作提案，附加过滤可以缩小允许集合。但端到端运行中，过滤改变后续提案、调用次数与模型上下文。因此，不能从集合缩小推出整体错误率必然下降，更不能推出交付质量提高。一个规则把全部提案拒绝，可能降低执行中的违规次数，同时把任务成功率降为零。</w:t>
      </w:r>
    </w:p>
    <w:p>
      <w:pPr>
        <w:pStyle w:val="BodyText"/>
      </w:pPr>
      <w:r>
        <w:rPr>
          <w:rFonts w:hint="eastAsia"/>
        </w:rPr>
        <w:t xml:space="preserve">联合效用必须拆开观察：合法任务是否完成，不合法动作是否被阻止，合法动作是否被误拒，真实错误是否被修复。本文不使用“模型更谨慎”作为正面效果的替代描述，也不把多写一份解释算作任务进展。</w:t>
      </w:r>
    </w:p>
    <w:bookmarkEnd w:id="36"/>
    <w:bookmarkStart w:id="37" w:name="说明性案例"/>
    <w:p>
      <w:pPr>
        <w:pStyle w:val="Heading3"/>
      </w:pPr>
      <w:r>
        <w:t xml:space="preserve">5.3 </w:t>
      </w:r>
      <w:r>
        <w:rPr>
          <w:rFonts w:hint="eastAsia"/>
        </w:rPr>
        <w:t xml:space="preserve">说明性案例</w:t>
      </w:r>
    </w:p>
    <w:p>
      <w:pPr>
        <w:pStyle w:val="FirstParagraph"/>
      </w:pPr>
      <w:r>
        <w:rPr>
          <w:rFonts w:hint="eastAsia"/>
        </w:rPr>
        <w:t xml:space="preserve">设虚构任务要求把库存表转换为报告，仅允许写工作副本，数量单位必须确认。工具第一次读取超时，但原文件未损坏。C</w:t>
      </w:r>
      <w:r>
        <w:t xml:space="preserve"> </w:t>
      </w:r>
      <w:r>
        <w:rPr>
          <w:rFonts w:hint="eastAsia"/>
        </w:rPr>
        <w:t xml:space="preserve">检查写入范围，K</w:t>
      </w:r>
      <w:r>
        <w:t xml:space="preserve"> </w:t>
      </w:r>
      <w:r>
        <w:rPr>
          <w:rFonts w:hint="eastAsia"/>
        </w:rPr>
        <w:t xml:space="preserve">将单位保持为待查，F</w:t>
      </w:r>
      <w:r>
        <w:t xml:space="preserve"> </w:t>
      </w:r>
      <w:r>
        <w:rPr>
          <w:rFonts w:hint="eastAsia"/>
        </w:rPr>
        <w:t xml:space="preserve">提出“可能是文件损坏”的解释。如果</w:t>
      </w:r>
      <w:r>
        <w:t xml:space="preserve"> F </w:t>
      </w:r>
      <w:r>
        <w:rPr>
          <w:rFonts w:hint="eastAsia"/>
        </w:rPr>
        <w:t xml:space="preserve">的解释直接变成事实，系统可能放弃合法任务；如果</w:t>
      </w:r>
      <w:r>
        <w:t xml:space="preserve"> C </w:t>
      </w:r>
      <w:r>
        <w:rPr>
          <w:rFonts w:hint="eastAsia"/>
        </w:rPr>
        <w:t xml:space="preserve">禁止所有后续读取，也会阻断本来可恢复的流程。</w:t>
      </w:r>
    </w:p>
    <w:p>
      <w:pPr>
        <w:pStyle w:val="BodyText"/>
      </w:pPr>
      <w:r>
        <w:rPr>
          <w:rFonts w:hint="eastAsia"/>
        </w:rPr>
        <w:t xml:space="preserve">完整接口下，超时只支持“本次未取得结果”。系统可以在预算内重读，核实单位后输出副本。若反复重读耗尽预算，任务仍然未完成。这个构造例子说明为何需要区分来源、权限、未知状态与修正建议，不是系统真实成功的证据。</w:t>
      </w:r>
    </w:p>
    <w:bookmarkEnd w:id="37"/>
    <w:bookmarkEnd w:id="38"/>
    <w:bookmarkStart w:id="46" w:name="三因素交互评测协议"/>
    <w:p>
      <w:pPr>
        <w:pStyle w:val="Heading2"/>
      </w:pPr>
      <w:r>
        <w:t xml:space="preserve">6 </w:t>
      </w:r>
      <w:r>
        <w:rPr>
          <w:rFonts w:hint="eastAsia"/>
        </w:rPr>
        <w:t xml:space="preserve">三因素交互评测协议</w:t>
      </w:r>
    </w:p>
    <w:bookmarkStart w:id="39" w:name="任务状态和实验单位"/>
    <w:p>
      <w:pPr>
        <w:pStyle w:val="Heading3"/>
      </w:pPr>
      <w:r>
        <w:t xml:space="preserve">6.1 </w:t>
      </w:r>
      <w:r>
        <w:rPr>
          <w:rFonts w:hint="eastAsia"/>
        </w:rPr>
        <w:t xml:space="preserve">任务、状态和实验单位</w:t>
      </w:r>
    </w:p>
    <w:p>
      <w:pPr>
        <w:pStyle w:val="FirstParagraph"/>
      </w:pPr>
      <w:r>
        <w:rPr>
          <w:rFonts w:hint="eastAsia"/>
        </w:rPr>
        <w:t xml:space="preserve">主研究拟设</w:t>
      </w:r>
      <w:r>
        <w:t xml:space="preserve"> 48 </w:t>
      </w:r>
      <w:r>
        <w:rPr>
          <w:rFonts w:hint="eastAsia"/>
        </w:rPr>
        <w:t xml:space="preserve">个正式任务家族，分为文档数据转换、版本化资料问答及模拟工具事务三类，每类</w:t>
      </w:r>
      <w:r>
        <w:t xml:space="preserve"> 16 </w:t>
      </w:r>
      <w:r>
        <w:rPr>
          <w:rFonts w:hint="eastAsia"/>
        </w:rPr>
        <w:t xml:space="preserve">个。家族共享语义结构的变体不能视为独立样本。每家族设置两个预先配对版本：一个干扰较少，一个含任务相关的信息缺口或反馈噪声；正常可完成、确实应停止与可经补查恢复的任务均须覆盖，不能全用需要阻断的陷阱任务。</w:t>
      </w:r>
    </w:p>
    <w:p>
      <w:pPr>
        <w:pStyle w:val="BodyText"/>
      </w:pPr>
      <w:r>
        <w:rPr>
          <w:rFonts w:hint="eastAsia"/>
        </w:rPr>
        <w:t xml:space="preserve">开发、先导与正式家族在模板、实体、规则和工具状态模式上分离。先导估计方差与交互检验能力后，才能冻结正式样本量；48</w:t>
      </w:r>
      <w:r>
        <w:t xml:space="preserve"> </w:t>
      </w:r>
      <w:r>
        <w:rPr>
          <w:rFonts w:hint="eastAsia"/>
        </w:rPr>
        <w:t xml:space="preserve">是规划数，不代表功效充分。第一阶段从合成、可复位且有确定验收的任务开始；公开基准的派生任务另行命名并披露变更，不能冒充原基准分数。</w:t>
      </w:r>
    </w:p>
    <w:p>
      <w:pPr>
        <w:pStyle w:val="BodyText"/>
      </w:pPr>
      <w:r>
        <w:rPr>
          <w:rFonts w:hint="eastAsia"/>
        </w:rPr>
        <w:t xml:space="preserve">环境状态和规则由独立生成器创建，隐藏评分由另一程序读取，不让智能体访问答案键、隐藏验收或注入缺陷标签。公开核查工具向所有条件开放，不要求每个条件实际选择相同查询，因为选择差异本身属于机制效果。</w:t>
      </w:r>
    </w:p>
    <w:bookmarkEnd w:id="39"/>
    <w:bookmarkStart w:id="40" w:name="八个条件与强基线"/>
    <w:p>
      <w:pPr>
        <w:pStyle w:val="Heading3"/>
      </w:pPr>
      <w:r>
        <w:t xml:space="preserve">6.2 </w:t>
      </w:r>
      <w:r>
        <w:rPr>
          <w:rFonts w:hint="eastAsia"/>
        </w:rPr>
        <w:t xml:space="preserve">八个条件与强基线</w:t>
      </w:r>
    </w:p>
    <w:p>
      <w:pPr>
        <w:pStyle w:val="FirstParagraph"/>
      </w:pPr>
      <m:oMath>
        <m:r>
          <m:t>C</m:t>
        </m:r>
        <m:r>
          <m:rPr>
            <m:sty m:val="p"/>
          </m:rPr>
          <m:t>,</m:t>
        </m:r>
        <m:r>
          <m:t>K</m:t>
        </m:r>
        <m:r>
          <m:rPr>
            <m:sty m:val="p"/>
          </m:rPr>
          <m:t>,</m:t>
        </m:r>
        <m:r>
          <m:t>F</m:t>
        </m:r>
        <m:r>
          <m:rPr>
            <m:sty m:val="p"/>
          </m:rPr>
          <m:t>∈</m:t>
        </m:r>
        <m:r>
          <m:rPr>
            <m:sty m:val="p"/>
          </m:rPr>
          <m:t>{</m:t>
        </m:r>
        <m:r>
          <m:t>0</m:t>
        </m:r>
        <m:r>
          <m:rPr>
            <m:sty m:val="p"/>
          </m:rPr>
          <m:t>,</m:t>
        </m:r>
        <m:r>
          <m:t>1</m:t>
        </m:r>
        <m:r>
          <m:rPr>
            <m:sty m:val="p"/>
          </m:rPr>
          <m:t>}</m:t>
        </m:r>
      </m:oMath>
      <w:r>
        <w:t xml:space="preserve"> </w:t>
      </w:r>
      <w:r>
        <w:rPr>
          <w:rFonts w:hint="eastAsia"/>
        </w:rPr>
        <w:t xml:space="preserve">构成八个全因子条件：000、100、010、001、110、101、011、111。全因子指保留每一种开关组合，从而能够区分单组件作用与相互作用。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因素</w:t>
            </w:r>
          </w:p>
        </w:tc>
        <w:tc>
          <w:tcPr/>
          <w:p>
            <w:pPr>
              <w:pStyle w:val="Compact"/>
            </w:pPr>
            <w:r>
              <w:rPr>
                <w:rFonts w:hint="eastAsia"/>
              </w:rPr>
              <w:t xml:space="preserve">关闭状态</w:t>
            </w:r>
          </w:p>
        </w:tc>
        <w:tc>
          <w:tcPr/>
          <w:p>
            <w:pPr>
              <w:pStyle w:val="Compact"/>
            </w:pPr>
            <w:r>
              <w:rPr>
                <w:rFonts w:hint="eastAsia"/>
              </w:rPr>
              <w:t xml:space="preserve">开启状态</w:t>
            </w:r>
          </w:p>
        </w:tc>
        <w:tc>
          <w:tcPr/>
          <w:p>
            <w:pPr>
              <w:pStyle w:val="Compact"/>
            </w:pPr>
            <w:r>
              <w:rPr>
                <w:rFonts w:hint="eastAsia"/>
              </w:rPr>
              <w:t xml:space="preserve">所有条件保持一致</w:t>
            </w:r>
          </w:p>
        </w:tc>
      </w:tr>
      <w:tr>
        <w:tc>
          <w:tcPr/>
          <w:p>
            <w:pPr>
              <w:pStyle w:val="Compact"/>
            </w:pPr>
            <w:r>
              <w:t xml:space="preserve">C </w:t>
            </w:r>
            <w:r>
              <w:rPr>
                <w:rFonts w:hint="eastAsia"/>
              </w:rPr>
              <w:t xml:space="preserve">约束</w:t>
            </w:r>
          </w:p>
        </w:tc>
        <w:tc>
          <w:tcPr/>
          <w:p>
            <w:pPr>
              <w:pStyle w:val="Compact"/>
            </w:pPr>
            <w:r>
              <w:rPr>
                <w:rFonts w:hint="eastAsia"/>
              </w:rPr>
              <w:t xml:space="preserve">规则仍在提示和任务中，由普通推理遵循</w:t>
            </w:r>
          </w:p>
        </w:tc>
        <w:tc>
          <w:tcPr/>
          <w:p>
            <w:pPr>
              <w:pStyle w:val="Compact"/>
            </w:pPr>
            <w:r>
              <w:rPr>
                <w:rFonts w:hint="eastAsia"/>
              </w:rPr>
              <w:t xml:space="preserve">在模拟动作边界执行可判定业务规则</w:t>
            </w:r>
          </w:p>
        </w:tc>
        <w:tc>
          <w:tcPr/>
          <w:p>
            <w:pPr>
              <w:pStyle w:val="Compact"/>
            </w:pPr>
            <w:r>
              <w:rPr>
                <w:rFonts w:hint="eastAsia"/>
              </w:rPr>
              <w:t xml:space="preserve">基础权限、规则原文、工具范围与任务义务</w:t>
            </w:r>
          </w:p>
        </w:tc>
      </w:tr>
      <w:tr>
        <w:tc>
          <w:tcPr/>
          <w:p>
            <w:pPr>
              <w:pStyle w:val="Compact"/>
            </w:pPr>
            <w:r>
              <w:t xml:space="preserve">K </w:t>
            </w:r>
            <w:r>
              <w:rPr>
                <w:rFonts w:hint="eastAsia"/>
              </w:rPr>
              <w:t xml:space="preserve">认识状态</w:t>
            </w:r>
          </w:p>
        </w:tc>
        <w:tc>
          <w:tcPr/>
          <w:p>
            <w:pPr>
              <w:pStyle w:val="Compact"/>
            </w:pPr>
            <w:r>
              <w:rPr>
                <w:rFonts w:hint="eastAsia"/>
              </w:rPr>
              <w:t xml:space="preserve">可读相同原始资料、历史与工具输出</w:t>
            </w:r>
          </w:p>
        </w:tc>
        <w:tc>
          <w:tcPr/>
          <w:p>
            <w:pPr>
              <w:pStyle w:val="Compact"/>
            </w:pPr>
            <w:r>
              <w:rPr>
                <w:rFonts w:hint="eastAsia"/>
              </w:rPr>
              <w:t xml:space="preserve">显式记录支持、待查、冲突并用于下一动作选择</w:t>
            </w:r>
          </w:p>
        </w:tc>
        <w:tc>
          <w:tcPr/>
          <w:p>
            <w:pPr>
              <w:pStyle w:val="Compact"/>
            </w:pPr>
            <w:r>
              <w:rPr>
                <w:rFonts w:hint="eastAsia"/>
              </w:rPr>
              <w:t xml:space="preserve">检索器、数据访问权、来源字段与核查机会</w:t>
            </w:r>
          </w:p>
        </w:tc>
      </w:tr>
      <w:tr>
        <w:tc>
          <w:tcPr/>
          <w:p>
            <w:pPr>
              <w:pStyle w:val="Compact"/>
            </w:pPr>
            <w:r>
              <w:t xml:space="preserve">F </w:t>
            </w:r>
            <w:r>
              <w:rPr>
                <w:rFonts w:hint="eastAsia"/>
              </w:rPr>
              <w:t xml:space="preserve">反馈</w:t>
            </w:r>
          </w:p>
        </w:tc>
        <w:tc>
          <w:tcPr/>
          <w:p>
            <w:pPr>
              <w:pStyle w:val="Compact"/>
            </w:pPr>
            <w:r>
              <w:rPr>
                <w:rFonts w:hint="eastAsia"/>
              </w:rPr>
              <w:t xml:space="preserve">可普通重试、继续推理，保留原始反馈</w:t>
            </w:r>
          </w:p>
        </w:tc>
        <w:tc>
          <w:tcPr/>
          <w:p>
            <w:pPr>
              <w:pStyle w:val="Compact"/>
            </w:pPr>
            <w:r>
              <w:rPr>
                <w:rFonts w:hint="eastAsia"/>
              </w:rPr>
              <w:t xml:space="preserve">结构化记录预测差异、原因假设和有限修正</w:t>
            </w:r>
          </w:p>
        </w:tc>
        <w:tc>
          <w:tcPr/>
          <w:p>
            <w:pPr>
              <w:pStyle w:val="Compact"/>
            </w:pPr>
            <w:r>
              <w:rPr>
                <w:rFonts w:hint="eastAsia"/>
              </w:rPr>
              <w:t xml:space="preserve">模型、最大可用预算、公共观测和工具能力</w:t>
            </w:r>
          </w:p>
        </w:tc>
      </w:tr>
    </w:tbl>
    <w:p>
      <w:pPr>
        <w:pStyle w:val="BodyText"/>
      </w:pPr>
      <w:r>
        <w:t xml:space="preserve">000 </w:t>
      </w:r>
      <w:r>
        <w:rPr>
          <w:rFonts w:hint="eastAsia"/>
        </w:rPr>
        <w:t xml:space="preserve">是具有工具、检索、公开规则和重试能力的强基础执行循环，而不是一次随意回答。关闭</w:t>
      </w:r>
      <w:r>
        <w:t xml:space="preserve"> F </w:t>
      </w:r>
      <w:r>
        <w:rPr>
          <w:rFonts w:hint="eastAsia"/>
        </w:rPr>
        <w:t xml:space="preserve">并不能证明模型内部没有反思，关闭</w:t>
      </w:r>
      <w:r>
        <w:t xml:space="preserve"> K </w:t>
      </w:r>
      <w:r>
        <w:rPr>
          <w:rFonts w:hint="eastAsia"/>
        </w:rPr>
        <w:t xml:space="preserve">也不能禁止普通推理自行区分事实与假设；因素效应应解释为“提供该外部机制”的分配效果。实验检查组件是否实际执行，但不据执行服从情况事后剔除失败运行。另设置仅在提示中加入三种理念措辞的探索条件，与同长度中性流程提醒比较，以检验口号是否只是提示变化；该实验不作为三层机制的主证据。</w:t>
      </w:r>
    </w:p>
    <w:p>
      <w:pPr>
        <w:pStyle w:val="BodyText"/>
      </w:pPr>
      <w:r>
        <w:rPr>
          <w:rFonts w:hint="eastAsia"/>
        </w:rPr>
        <w:t xml:space="preserve">对</w:t>
      </w:r>
      <w:r>
        <w:t xml:space="preserve"> Reflexion、CRITIC </w:t>
      </w:r>
      <w:r>
        <w:rPr>
          <w:rFonts w:hint="eastAsia"/>
        </w:rPr>
        <w:t xml:space="preserve">和可用的路径规则实现，可采用同模型适配对照；适配偏差必须披露。Self-RAG</w:t>
      </w:r>
      <w:r>
        <w:t xml:space="preserve"> </w:t>
      </w:r>
      <w:r>
        <w:rPr>
          <w:rFonts w:hint="eastAsia"/>
        </w:rPr>
        <w:t xml:space="preserve">涉及专门训练，作为不同能力条件单列，不用其不同模型结果支持固定模型的因果比较。AEI</w:t>
      </w:r>
      <w:r>
        <w:t xml:space="preserve"> </w:t>
      </w:r>
      <w:r>
        <w:rPr>
          <w:rFonts w:hint="eastAsia"/>
        </w:rPr>
        <w:t xml:space="preserve">是直接概念近邻，本稿不能声称已经完整复现其联合训练主张；Maat</w:t>
      </w:r>
      <w:r>
        <w:t xml:space="preserve"> </w:t>
      </w:r>
      <w:r>
        <w:rPr>
          <w:rFonts w:hint="eastAsia"/>
        </w:rPr>
        <w:t xml:space="preserve">的交接规则也只能在接口匹配的子集比较。</w:t>
      </w:r>
    </w:p>
    <w:bookmarkEnd w:id="40"/>
    <w:bookmarkStart w:id="41" w:name="共享检查点与端到端两阶段"/>
    <w:p>
      <w:pPr>
        <w:pStyle w:val="Heading3"/>
      </w:pPr>
      <w:r>
        <w:t xml:space="preserve">6.3 </w:t>
      </w:r>
      <w:r>
        <w:rPr>
          <w:rFonts w:hint="eastAsia"/>
        </w:rPr>
        <w:t xml:space="preserve">共享检查点与端到端两阶段</w:t>
      </w:r>
    </w:p>
    <w:p>
      <w:pPr>
        <w:pStyle w:val="FirstParagraph"/>
      </w:pPr>
      <w:r>
        <w:rPr>
          <w:rFonts w:hint="eastAsia"/>
        </w:rPr>
        <w:t xml:space="preserve">机制阶段先用统一基础条件生成初始候选和公开观测，保存全部检查点，无论候选正确与否均纳入。将相同快照复制到八条件，各自继续运行，主张的效应仅限“从这一状态继续”的因果差异。隐藏评分只用于事后分析初始正确与错误，不用来选择哪些样本接受反思。</w:t>
      </w:r>
    </w:p>
    <w:p>
      <w:pPr>
        <w:pStyle w:val="BodyText"/>
      </w:pPr>
      <w:r>
        <w:rPr>
          <w:rFonts w:hint="eastAsia"/>
        </w:rPr>
        <w:t xml:space="preserve">端到端阶段从原始任务起分别运行八条件，允许轨迹分化，测量真实总效果与成本。两阶段数据分别分析，不能把检查点结果写成从零开始的任务表现。若资源有限，先导后在看正式成绩前缩减家族数或模型数，不删掉识别主要交互所需的四个</w:t>
      </w:r>
      <w:r>
        <w:t xml:space="preserve"> C=1 </w:t>
      </w:r>
      <w:r>
        <w:rPr>
          <w:rFonts w:hint="eastAsia"/>
        </w:rPr>
        <w:t xml:space="preserve">条件；若要估计全部二阶与三阶交互，仍需保留八条件。</w:t>
      </w:r>
    </w:p>
    <w:bookmarkEnd w:id="41"/>
    <w:bookmarkStart w:id="42" w:name="交互量与主比较"/>
    <w:p>
      <w:pPr>
        <w:pStyle w:val="Heading3"/>
      </w:pPr>
      <w:r>
        <w:t xml:space="preserve">6.4 </w:t>
      </w:r>
      <w:r>
        <w:rPr>
          <w:rFonts w:hint="eastAsia"/>
        </w:rPr>
        <w:t xml:space="preserve">交互量与主比较</w:t>
      </w:r>
    </w:p>
    <w:p>
      <w:pPr>
        <w:pStyle w:val="FirstParagraph"/>
      </w:pPr>
      <w:r>
        <w:rPr>
          <w:rFonts w:hint="eastAsia"/>
        </w:rPr>
        <w:t xml:space="preserve">令</w:t>
      </w:r>
      <w:r>
        <w:t xml:space="preserve"> </w:t>
      </w:r>
      <m:oMath>
        <m:sSub>
          <m:e>
            <m:r>
              <m:t>μ</m:t>
            </m:r>
          </m:e>
          <m:sub>
            <m:r>
              <m:t>c</m:t>
            </m:r>
            <m:r>
              <m:t>k</m:t>
            </m:r>
            <m:r>
              <m:t>f</m:t>
            </m:r>
          </m:sub>
        </m:sSub>
      </m:oMath>
      <w:r>
        <w:t xml:space="preserve"> </w:t>
      </w:r>
      <w:r>
        <w:rPr>
          <w:rFonts w:hint="eastAsia"/>
        </w:rPr>
        <w:t xml:space="preserve">为条件</w:t>
      </w:r>
      <w:r>
        <w:t xml:space="preserve"> </w:t>
      </w:r>
      <m:oMath>
        <m:r>
          <m:rPr>
            <m:sty m:val="p"/>
          </m:rPr>
          <m:t>(</m:t>
        </m:r>
        <m:r>
          <m:t>c</m:t>
        </m:r>
        <m:r>
          <m:rPr>
            <m:sty m:val="p"/>
          </m:rPr>
          <m:t>,</m:t>
        </m:r>
        <m:r>
          <m:t>k</m:t>
        </m:r>
        <m:r>
          <m:rPr>
            <m:sty m:val="p"/>
          </m:rPr>
          <m:t>,</m:t>
        </m:r>
        <m:r>
          <m:t>f</m:t>
        </m:r>
        <m:r>
          <m:rPr>
            <m:sty m:val="p"/>
          </m:rPr>
          <m:t>)</m:t>
        </m:r>
      </m:oMath>
      <w:r>
        <w:t xml:space="preserve"> </w:t>
      </w:r>
      <w:r>
        <w:rPr>
          <w:rFonts w:hint="eastAsia"/>
        </w:rPr>
        <w:t xml:space="preserve">在同一预定任务分布上的联合成功率。主要交互为约束开启时的</w:t>
      </w:r>
    </w:p>
    <w:p>
      <w:pPr>
        <w:pStyle w:val="BodyText"/>
      </w:pPr>
      <m:oMathPara>
        <m:oMathParaPr>
          <m:jc m:val="center"/>
        </m:oMathParaPr>
        <m:oMath>
          <m:sSub>
            <m:e>
              <m:r>
                <m:rPr>
                  <m:sty m:val="p"/>
                </m:rPr>
                <m:t>Δ</m:t>
              </m:r>
            </m:e>
            <m:sub>
              <m:r>
                <m:t>K</m:t>
              </m:r>
              <m:r>
                <m:t>F</m:t>
              </m:r>
              <m:r>
                <m:rPr>
                  <m:sty m:val="p"/>
                </m:rPr>
                <m:t>∣</m:t>
              </m:r>
              <m:r>
                <m:t>C</m:t>
              </m:r>
              <m:r>
                <m:rPr>
                  <m:sty m:val="p"/>
                </m:rPr>
                <m:t>=</m:t>
              </m:r>
              <m:r>
                <m:t>1</m:t>
              </m:r>
            </m:sub>
          </m:sSub>
          <m:r>
            <m:rPr>
              <m:sty m:val="p"/>
            </m:rPr>
            <m:t>=</m:t>
          </m:r>
          <m:sSub>
            <m:e>
              <m:r>
                <m:t>μ</m:t>
              </m:r>
            </m:e>
            <m:sub>
              <m:r>
                <m:t>111</m:t>
              </m:r>
            </m:sub>
          </m:sSub>
          <m:r>
            <m:rPr>
              <m:sty m:val="p"/>
            </m:rPr>
            <m:t>−</m:t>
          </m:r>
          <m:sSub>
            <m:e>
              <m:r>
                <m:t>μ</m:t>
              </m:r>
            </m:e>
            <m:sub>
              <m:r>
                <m:t>110</m:t>
              </m:r>
            </m:sub>
          </m:sSub>
          <m:r>
            <m:rPr>
              <m:sty m:val="p"/>
            </m:rPr>
            <m:t>−</m:t>
          </m:r>
          <m:sSub>
            <m:e>
              <m:r>
                <m:t>μ</m:t>
              </m:r>
            </m:e>
            <m:sub>
              <m:r>
                <m:t>101</m:t>
              </m:r>
            </m:sub>
          </m:sSub>
          <m:r>
            <m:rPr>
              <m:sty m:val="p"/>
            </m:rPr>
            <m:t>+</m:t>
          </m:r>
          <m:sSub>
            <m:e>
              <m:r>
                <m:t>μ</m:t>
              </m:r>
            </m:e>
            <m:sub>
              <m:r>
                <m:t>100</m:t>
              </m:r>
            </m:sub>
          </m:sSub>
          <m:r>
            <m:rPr>
              <m:sty m:val="p"/>
            </m:rPr>
            <m:t>.</m:t>
          </m:r>
        </m:oMath>
      </m:oMathPara>
    </w:p>
    <w:p>
      <w:pPr>
        <w:pStyle w:val="FirstParagraph"/>
      </w:pPr>
      <w:r>
        <w:rPr>
          <w:rFonts w:hint="eastAsia"/>
        </w:rPr>
        <w:t xml:space="preserve">正值表示在概率差尺度上的超加和，负值表示相互抵消；这是给定任务、实现与预算下的统计交互，不是普遍的认知协同定律。天花板效应会限制正交互，故须同时报告四个单元的绝对成功率、初始难度及区间，不能只公布交互系数。</w:t>
      </w:r>
    </w:p>
    <w:p>
      <w:pPr>
        <w:pStyle w:val="BodyText"/>
      </w:pPr>
      <w:r>
        <w:t xml:space="preserve">H2 </w:t>
      </w:r>
      <w:r>
        <w:rPr>
          <w:rFonts w:hint="eastAsia"/>
        </w:rPr>
        <w:t xml:space="preserve">的比较对象在开发集从</w:t>
      </w:r>
      <w:r>
        <w:t xml:space="preserve"> 110、101、011 </w:t>
      </w:r>
      <w:r>
        <w:rPr>
          <w:rFonts w:hint="eastAsia"/>
        </w:rPr>
        <w:t xml:space="preserve">中按联合成功率选定，并在正式运行前冻结。正式集上不得再挑表现最差的双组件条件作为对照，也不得用同一测试集先选最强再宣称独立优越性。主检验设为</w:t>
      </w:r>
      <w:r>
        <w:t xml:space="preserve"> </w:t>
      </w:r>
      <m:oMath>
        <m:sSub>
          <m:e>
            <m:r>
              <m:rPr>
                <m:sty m:val="p"/>
              </m:rPr>
              <m:t>Δ</m:t>
            </m:r>
          </m:e>
          <m:sub>
            <m:r>
              <m:t>K</m:t>
            </m:r>
            <m:r>
              <m:t>F</m:t>
            </m:r>
            <m:r>
              <m:rPr>
                <m:sty m:val="p"/>
              </m:rPr>
              <m:t>∣</m:t>
            </m:r>
            <m:r>
              <m:t>C</m:t>
            </m:r>
            <m:r>
              <m:rPr>
                <m:sty m:val="p"/>
              </m:rPr>
              <m:t>=</m:t>
            </m:r>
            <m:r>
              <m:t>1</m:t>
            </m:r>
          </m:sub>
        </m:sSub>
      </m:oMath>
      <w:r>
        <w:t xml:space="preserve"> </w:t>
      </w:r>
      <w:r>
        <w:rPr>
          <w:rFonts w:hint="eastAsia"/>
        </w:rPr>
        <w:t xml:space="preserve">与</w:t>
      </w:r>
      <w:r>
        <w:t xml:space="preserve"> 111 </w:t>
      </w:r>
      <w:r>
        <w:rPr>
          <w:rFonts w:hint="eastAsia"/>
        </w:rPr>
        <w:t xml:space="preserve">对已冻结双组件条件，两项采用</w:t>
      </w:r>
      <w:r>
        <w:t xml:space="preserve"> Holm </w:t>
      </w:r>
      <w:r>
        <w:rPr>
          <w:rFonts w:hint="eastAsia"/>
        </w:rPr>
        <w:t xml:space="preserve">校正；其他二阶、三阶交互和分层结果均为次要或探索性。</w:t>
      </w:r>
    </w:p>
    <w:p>
      <w:pPr>
        <w:pStyle w:val="BodyText"/>
      </w:pPr>
      <w:r>
        <w:rPr>
          <w:rFonts w:hint="eastAsia"/>
        </w:rPr>
        <w:t xml:space="preserve">任务家族为统计聚类单位，每条件拟重复</w:t>
      </w:r>
      <w:r>
        <w:t xml:space="preserve"> 3 </w:t>
      </w:r>
      <w:r>
        <w:rPr>
          <w:rFonts w:hint="eastAsia"/>
        </w:rPr>
        <w:t xml:space="preserve">次，家族内配对保留同任务、变体、种子及运行批次。采用家族级配对重采样给出效应和</w:t>
      </w:r>
      <w:r>
        <w:t xml:space="preserve"> 95% </w:t>
      </w:r>
      <w:r>
        <w:rPr>
          <w:rFonts w:hint="eastAsia"/>
        </w:rPr>
        <w:t xml:space="preserve">置信区间；重复次数不替代独立家族数量。若无显著差异，报告区间允许的改善与损失，不能宣称等效；如需质量非劣判断，界限必须在正式测试前另行预设。</w:t>
      </w:r>
    </w:p>
    <w:bookmarkEnd w:id="42"/>
    <w:bookmarkStart w:id="43" w:name="正确停止错误阻断与校准"/>
    <w:p>
      <w:pPr>
        <w:pStyle w:val="Heading3"/>
      </w:pPr>
      <w:r>
        <w:t xml:space="preserve">6.5 </w:t>
      </w:r>
      <w:r>
        <w:rPr>
          <w:rFonts w:hint="eastAsia"/>
        </w:rPr>
        <w:t xml:space="preserve">正确停止、错误阻断与校准</w:t>
      </w:r>
    </w:p>
    <w:p>
      <w:pPr>
        <w:pStyle w:val="FirstParagraph"/>
      </w:pPr>
      <w:r>
        <w:rPr>
          <w:rFonts w:hint="eastAsia"/>
        </w:rPr>
        <w:t xml:space="preserve">主要联合成功要求：满足任务的必要输出、符合模拟业务规则、没有无依据完成声明。对任务预设确实无法合法完成的情形，正确说明缺口并停止可计为目标完成；对可完成任务，提前停止即为失败，不能一律记为“成功防护”。分别列出合法任务成功率、正确停止率、合法动作误拒率、未支持信息导致的错误行动以及错误修正造成的新错误。</w:t>
      </w:r>
    </w:p>
    <w:p>
      <w:pPr>
        <w:pStyle w:val="BodyText"/>
      </w:pPr>
      <w:r>
        <w:rPr>
          <w:rFonts w:hint="eastAsia"/>
        </w:rPr>
        <w:t xml:space="preserve">概率校准另设不控制运行的诊断读出：在预先指定的相同公开检查点，所有条件预测该候选是否会通过最终验收的概率，再由隐藏评分得到真实标签。预测询问和评分均不写回执行状态。采用</w:t>
      </w:r>
      <w:r>
        <w:t xml:space="preserve"> Brier </w:t>
      </w:r>
      <w:r>
        <w:rPr>
          <w:rFonts w:hint="eastAsia"/>
        </w:rPr>
        <w:t xml:space="preserve">分数，即概率预测与</w:t>
      </w:r>
      <w:r>
        <w:t xml:space="preserve"> 0/1 </w:t>
      </w:r>
      <w:r>
        <w:rPr>
          <w:rFonts w:hint="eastAsia"/>
        </w:rPr>
        <w:t xml:space="preserve">结果差的平方均值，并报告覆盖率与分层可靠性。其调用费用归入研究测量成本，所有条件相同并与实际运行成本分别列账。</w:t>
      </w:r>
    </w:p>
    <w:p>
      <w:pPr>
        <w:pStyle w:val="BodyText"/>
      </w:pPr>
      <w:r>
        <w:rPr>
          <w:rFonts w:hint="eastAsia"/>
        </w:rPr>
        <w:t xml:space="preserve">对自然轨迹中的概率预测只作描述性补充，因为不同条件可能只在不同难度的状态上给出概率，不能直接比较就归因于校准能力。模型拒绝给出概率记为诊断缺失，越界概率或无法解析的输出也记为缺失。若总样本为</w:t>
      </w:r>
      <w:r>
        <w:t xml:space="preserve"> </w:t>
      </w:r>
      <w:r>
        <w:rPr>
          <w:rFonts w:hint="eastAsia"/>
        </w:rPr>
        <w:t xml:space="preserve">N、已观测平方误差之和为</w:t>
      </w:r>
      <w:r>
        <w:t xml:space="preserve"> </w:t>
      </w:r>
      <w:r>
        <w:rPr>
          <w:rFonts w:hint="eastAsia"/>
        </w:rPr>
        <w:t xml:space="preserve">S、缺失数为</w:t>
      </w:r>
      <w:r>
        <w:t xml:space="preserve"> </w:t>
      </w:r>
      <w:r>
        <w:rPr>
          <w:rFonts w:hint="eastAsia"/>
        </w:rPr>
        <w:t xml:space="preserve">m，则完整样本</w:t>
      </w:r>
      <w:r>
        <w:t xml:space="preserve"> Brier </w:t>
      </w:r>
      <w:r>
        <w:rPr>
          <w:rFonts w:hint="eastAsia"/>
        </w:rPr>
        <w:t xml:space="preserve">分数只能界定于</w:t>
      </w:r>
      <w:r>
        <w:t xml:space="preserve"> </w:t>
      </w:r>
      <w:r>
        <w:rPr>
          <w:rFonts w:hint="eastAsia"/>
        </w:rPr>
        <w:t xml:space="preserve">[S/N,(S+m)/N]；同时报告该区间、缺失率和有输出样本的描述性分数，不能删除缺失后单独声称校准改善。原因归因使用公开可定位的事件编码：规则误配、信息漏查、状态误升级、反馈误修正、预算耗尽或无法判断，不推断模型的心理动机。</w:t>
      </w:r>
    </w:p>
    <w:bookmarkEnd w:id="43"/>
    <w:bookmarkStart w:id="44" w:name="总预算与失效归因"/>
    <w:p>
      <w:pPr>
        <w:pStyle w:val="Heading3"/>
      </w:pPr>
      <w:r>
        <w:t xml:space="preserve">6.6 </w:t>
      </w:r>
      <w:r>
        <w:rPr>
          <w:rFonts w:hint="eastAsia"/>
        </w:rPr>
        <w:t xml:space="preserve">总预算与失效归因</w:t>
      </w:r>
    </w:p>
    <w:p>
      <w:pPr>
        <w:pStyle w:val="FirstParagraph"/>
      </w:pPr>
      <w:r>
        <w:rPr>
          <w:rFonts w:hint="eastAsia"/>
        </w:rPr>
        <w:t xml:space="preserve">各条件固定基础模型、精确版本、提示角色、检索和工具实现、采样参数、上下文限制及生命周期总预算。预算包括状态抽取、规则解释、反馈生成、额外核查、摘要、重试及失败调用。关闭的组件释放的预算允许基础执行器用于正常求解，不能强迫它浪费调用以形式上“等次数”。主结果比较同上限下质量，并绘制多预算质量成本曲线。</w:t>
      </w:r>
    </w:p>
    <w:p>
      <w:pPr>
        <w:pStyle w:val="BodyText"/>
      </w:pPr>
      <w:r>
        <w:rPr>
          <w:rFonts w:hint="eastAsia"/>
        </w:rPr>
        <w:t xml:space="preserve">预算设置先由先导确定中心预算，再冻结较低和较高两档做敏感性分析。相同上限不保证相同实际支出，因此同时报告输入输出词元、费用、墙钟时间及失败消耗。固定调用数的子实验可以诊断额外计算，但不能取代实际总成本比较。快速错误阻断造成的低费用不能单独称为效率优势。</w:t>
      </w:r>
    </w:p>
    <w:p>
      <w:pPr>
        <w:pStyle w:val="BodyText"/>
      </w:pPr>
      <w:r>
        <w:rPr>
          <w:rFonts w:hint="eastAsia"/>
        </w:rPr>
        <w:t xml:space="preserve">轨迹归因先找最早可证实的偏差，再记录下游表现；时间上先发生不等于因果。对关键失败，回到相同检查点，仅替换一个接口输出为预先定义的正确结构或禁用一次特定升级，重新运行并与原条件配对。该诊断干预使用理想信息，单列为机制分析，不进入正式系统成绩，也不能把一次修复效果推广为全部失败的根因。</w:t>
      </w:r>
    </w:p>
    <w:bookmarkEnd w:id="44"/>
    <w:bookmarkStart w:id="45" w:name="防止跨组件和跨任务泄漏"/>
    <w:p>
      <w:pPr>
        <w:pStyle w:val="Heading3"/>
      </w:pPr>
      <w:r>
        <w:t xml:space="preserve">6.7 </w:t>
      </w:r>
      <w:r>
        <w:rPr>
          <w:rFonts w:hint="eastAsia"/>
        </w:rPr>
        <w:t xml:space="preserve">防止跨组件和跨任务泄漏</w:t>
      </w:r>
    </w:p>
    <w:p>
      <w:pPr>
        <w:pStyle w:val="FirstParagraph"/>
      </w:pPr>
      <w:r>
        <w:rPr>
          <w:rFonts w:hint="eastAsia"/>
        </w:rPr>
        <w:t xml:space="preserve">每个条件、任务及种子使用独立存储空间，启动前清空缓存、反思和阈值自适应状态。允许同一次任务内复用记录，但不允许某条件读取其他条件的成功产物、评分结果或经验。任务变体也不得沿用前一变体的答案。</w:t>
      </w:r>
    </w:p>
    <w:p>
      <w:pPr>
        <w:pStyle w:val="BodyText"/>
      </w:pPr>
      <w:r>
        <w:rPr>
          <w:rFonts w:hint="eastAsia"/>
        </w:rPr>
        <w:t xml:space="preserve">用于生成任务的模型若同时参与求解或裁判，需披露并通过确定验收及独立抽查降低偏差。人工复核隐藏条件标签；只有一位复核者时如实报告，不伪造一致性指标。公开基准的训练污染无法完全排除时，保留这一局限，并优先以未公开的独立模板检查机制。</w:t>
      </w:r>
    </w:p>
    <w:bookmarkEnd w:id="45"/>
    <w:bookmarkEnd w:id="46"/>
    <w:bookmarkStart w:id="47" w:name="当前证据与有效性威胁"/>
    <w:p>
      <w:pPr>
        <w:pStyle w:val="Heading2"/>
      </w:pPr>
      <w:r>
        <w:t xml:space="preserve">7 </w:t>
      </w:r>
      <w:r>
        <w:rPr>
          <w:rFonts w:hint="eastAsia"/>
        </w:rPr>
        <w:t xml:space="preserve">当前证据与有效性威胁</w:t>
      </w:r>
    </w:p>
    <w:p>
      <w:pPr>
        <w:pStyle w:val="FirstParagraph"/>
      </w:pPr>
      <w:r>
        <w:rPr>
          <w:rFonts w:hint="eastAsia"/>
        </w:rPr>
        <w:t xml:space="preserve">本稿没有已完成的实现、实验轨迹或统计结果。当前可以确认的是十篇原始文献已核验、操作性定义与实验协议已形成；各层能否稳定实现、组合是否值得采用仍不确定。文献中的成功率和本稿的构造案例都不能填入本方法结果表。</w:t>
      </w:r>
    </w:p>
    <w:p>
      <w:pPr>
        <w:pStyle w:val="BodyText"/>
      </w:pPr>
      <w:r>
        <w:rPr>
          <w:rFonts w:hint="eastAsia"/>
        </w:rPr>
        <w:t xml:space="preserve">最主要的内部有效性威胁是组件实现不对等：K</w:t>
      </w:r>
      <w:r>
        <w:t xml:space="preserve"> </w:t>
      </w:r>
      <w:r>
        <w:rPr>
          <w:rFonts w:hint="eastAsia"/>
        </w:rPr>
        <w:t xml:space="preserve">可能获得额外字段，F</w:t>
      </w:r>
      <w:r>
        <w:t xml:space="preserve"> </w:t>
      </w:r>
      <w:r>
        <w:rPr>
          <w:rFonts w:hint="eastAsia"/>
        </w:rPr>
        <w:t xml:space="preserve">可能获得更多工具反馈，C</w:t>
      </w:r>
      <w:r>
        <w:t xml:space="preserve"> </w:t>
      </w:r>
      <w:r>
        <w:rPr>
          <w:rFonts w:hint="eastAsia"/>
        </w:rPr>
        <w:t xml:space="preserve">可能额外包含金标准规则。方案通过相同原始信息和权限制约，但结构化呈现本身仍是干预的一部分，不能把所得效果解释为纯粹的抽象理念。语义判断误差、提示长度和角色效应还需在补充消融中检查。</w:t>
      </w:r>
    </w:p>
    <w:p>
      <w:pPr>
        <w:pStyle w:val="BodyText"/>
      </w:pPr>
      <w:r>
        <w:rPr>
          <w:rFonts w:hint="eastAsia"/>
        </w:rPr>
        <w:t xml:space="preserve">合成任务可能过度适合显式规则，因此外部适用性取决于公开或独立任务复核。确定性规则可能稳定地误判，已支持标签可能被过度信任，完整框架可能比两个组件更差。研究应允许结论是“少用一层更有效”，而不是在结果不利时继续添加组件直至得到正分数。</w:t>
      </w:r>
    </w:p>
    <w:p>
      <w:pPr>
        <w:pStyle w:val="BodyText"/>
      </w:pPr>
      <w:r>
        <w:rPr>
          <w:rFonts w:hint="eastAsia"/>
        </w:rPr>
        <w:t xml:space="preserve">本文的认识状态与反馈具有功能类比，但没有神经、心理或人格测量。不能从一组任务中推断模型更有道德、更聪明或具备哲学意义上的自省。文化动机应停留在研究问题来源，学术判断应建立在可观察机制和可复现结果上。</w:t>
      </w:r>
    </w:p>
    <w:bookmarkEnd w:id="47"/>
    <w:bookmarkStart w:id="48" w:name="结论"/>
    <w:p>
      <w:pPr>
        <w:pStyle w:val="Heading2"/>
      </w:pPr>
      <w:r>
        <w:t xml:space="preserve">8 </w:t>
      </w:r>
      <w:r>
        <w:rPr>
          <w:rFonts w:hint="eastAsia"/>
        </w:rPr>
        <w:t xml:space="preserve">结论</w:t>
      </w:r>
    </w:p>
    <w:p>
      <w:pPr>
        <w:pStyle w:val="FirstParagraph"/>
      </w:pPr>
      <w:r>
        <w:rPr>
          <w:rFonts w:hint="eastAsia"/>
        </w:rPr>
        <w:t xml:space="preserve">本文将可靠智能体的三种期待转化为约束、认识状态和反馈校准三个可观察组件，并用接口约定限制它们之间的状态升级、规则修改和重复核查。有限执行性质只在完整拦截、正确规则与一致版本前提下成立，不能证明任务成功或开放世界真实性。</w:t>
      </w:r>
    </w:p>
    <w:p>
      <w:pPr>
        <w:pStyle w:val="BodyText"/>
      </w:pPr>
      <w:r>
        <w:rPr>
          <w:rFonts w:hint="eastAsia"/>
        </w:rPr>
        <w:t xml:space="preserve">本文的主要研究增量定位于组件组合的交互及失败条件。八条件实验、共享检查点、独立端到端运行与全过程成本核算，旨在区分互补、冗余和干扰。当前没有实证结果支持全部开启优于部分开启；本稿应作为综合框架与交互研究协议使用。</w:t>
      </w:r>
    </w:p>
    <w:bookmarkEnd w:id="48"/>
    <w:bookmarkStart w:id="49" w:name="研究声明"/>
    <w:p>
      <w:pPr>
        <w:pStyle w:val="Heading2"/>
      </w:pPr>
      <w:r>
        <w:rPr>
          <w:rFonts w:hint="eastAsia"/>
        </w:rPr>
        <w:t xml:space="preserve">研究声明</w:t>
      </w:r>
    </w:p>
    <w:p>
      <w:pPr>
        <w:pStyle w:val="FirstParagraph"/>
      </w:pPr>
      <w:r>
        <w:rPr>
          <w:rFonts w:hint="eastAsia"/>
          <w:b/>
          <w:bCs/>
        </w:rPr>
        <w:t xml:space="preserve">数据与代码可用性。</w:t>
      </w:r>
      <w:r>
        <w:t xml:space="preserve"> </w:t>
      </w:r>
      <w:r>
        <w:rPr>
          <w:rFonts w:hint="eastAsia"/>
        </w:rPr>
        <w:t xml:space="preserve">当前未完成实验数据集、研究实现或分析脚本。后续应公开允许分发的任务生成器、配置、条件切换代码、评分器、日志及配对分析程序。接口伪代码不作为软件已实现的证明。</w:t>
      </w:r>
    </w:p>
    <w:p>
      <w:pPr>
        <w:pStyle w:val="BodyText"/>
      </w:pPr>
      <w:r>
        <w:rPr>
          <w:rFonts w:hint="eastAsia"/>
          <w:b/>
          <w:bCs/>
        </w:rPr>
        <w:t xml:space="preserve">伦理声明。</w:t>
      </w:r>
      <w:r>
        <w:t xml:space="preserve"> </w:t>
      </w:r>
      <w:r>
        <w:rPr>
          <w:rFonts w:hint="eastAsia"/>
        </w:rPr>
        <w:t xml:space="preserve">本稿未开展参与者研究，未使用私人账号、客户或学生敏感数据。拟议实验在可复位模拟器中执行，关闭实验因素不会撤除真实环境权限边界。后续涉及个人数据或用户研究时另行处理同意、隐私与适用审查。</w:t>
      </w:r>
    </w:p>
    <w:p>
      <w:pPr>
        <w:pStyle w:val="BodyText"/>
      </w:pPr>
      <w:r>
        <w:rPr>
          <w:rFonts w:hint="eastAsia"/>
          <w:b/>
          <w:bCs/>
        </w:rPr>
        <w:t xml:space="preserve">作者贡献。</w:t>
      </w:r>
      <w:r>
        <w:t xml:space="preserve"> </w:t>
      </w:r>
      <w:r>
        <w:rPr>
          <w:rFonts w:hint="eastAsia"/>
        </w:rPr>
        <w:t xml:space="preserve">袁成路为拟署名作者，提供研究路线和问题背景。文献核验、机制细化、起草及内部自查使用</w:t>
      </w:r>
      <w:r>
        <w:t xml:space="preserve"> AI </w:t>
      </w:r>
      <w:r>
        <w:rPr>
          <w:rFonts w:hint="eastAsia"/>
        </w:rPr>
        <w:t xml:space="preserve">辅助。实验、统计分析和独立复现尚未完成，不列为已完成贡献；正式署名与贡献由作者审核。</w:t>
      </w:r>
    </w:p>
    <w:p>
      <w:pPr>
        <w:pStyle w:val="BodyText"/>
      </w:pPr>
      <w:r>
        <w:rPr>
          <w:rFonts w:hint="eastAsia"/>
          <w:b/>
          <w:bCs/>
        </w:rPr>
        <w:t xml:space="preserve">经费与利益冲突。</w:t>
      </w:r>
      <w:r>
        <w:t xml:space="preserve"> </w:t>
      </w:r>
      <w:r>
        <w:rPr>
          <w:rFonts w:hint="eastAsia"/>
        </w:rPr>
        <w:t xml:space="preserve">沿用研究路线中由个人承担费用的拟定安排，不将关联公司和项目自动列作资助方。关联工程项目可能影响研究偏好，具体商业关系和最终披露仍待作者确认。</w:t>
      </w:r>
    </w:p>
    <w:p>
      <w:pPr>
        <w:pStyle w:val="BodyText"/>
      </w:pPr>
      <w:r>
        <w:rPr>
          <w:b/>
          <w:bCs/>
        </w:rPr>
        <w:t xml:space="preserve">AI </w:t>
      </w:r>
      <w:r>
        <w:rPr>
          <w:rFonts w:hint="eastAsia"/>
          <w:b/>
          <w:bCs/>
        </w:rPr>
        <w:t xml:space="preserve">使用说明。</w:t>
      </w:r>
      <w:r>
        <w:t xml:space="preserve"> </w:t>
      </w:r>
      <w:r>
        <w:rPr>
          <w:rFonts w:hint="eastAsia"/>
        </w:rPr>
        <w:t xml:space="preserve">使用</w:t>
      </w:r>
      <w:r>
        <w:t xml:space="preserve"> OpenAI Codex </w:t>
      </w:r>
      <w:r>
        <w:rPr>
          <w:rFonts w:hint="eastAsia"/>
        </w:rPr>
        <w:t xml:space="preserve">辅助材料阅读、文献核验、论文写作与内部自查，AI</w:t>
      </w:r>
      <w:r>
        <w:t xml:space="preserve"> </w:t>
      </w:r>
      <w:r>
        <w:rPr>
          <w:rFonts w:hint="eastAsia"/>
        </w:rPr>
        <w:t xml:space="preserve">不列为作者。未用生成数据替代实验。正式投稿前由作者审核引用和结论，并按目标渠道政策完善披露。</w:t>
      </w:r>
    </w:p>
    <w:bookmarkEnd w:id="49"/>
    <w:bookmarkStart w:id="61" w:name="参考文献"/>
    <w:p>
      <w:pPr>
        <w:pStyle w:val="Heading2"/>
      </w:pPr>
      <w:r>
        <w:rPr>
          <w:rFonts w:hint="eastAsia"/>
        </w:rPr>
        <w:t xml:space="preserve">参考文献</w:t>
      </w:r>
    </w:p>
    <w:p>
      <w:pPr>
        <w:pStyle w:val="FirstParagraph"/>
      </w:pPr>
      <w:r>
        <w:t xml:space="preserve">[1] Yao, S., Zhao, J., Yu, D., Du, N., Shafran, I., Narasimhan, K., &amp; Cao, Y. (2023).</w:t>
      </w:r>
      <w:r>
        <w:t xml:space="preserve"> </w:t>
      </w:r>
      <w:r>
        <w:rPr>
          <w:i/>
          <w:iCs/>
        </w:rPr>
        <w:t xml:space="preserve">ReAct: Synergizing Reasoning and Acting in Language Models</w:t>
      </w:r>
      <w:r>
        <w:t xml:space="preserve">. arXiv:2210.03629, v3.</w:t>
      </w:r>
      <w:r>
        <w:t xml:space="preserve"> </w:t>
      </w:r>
      <w:hyperlink r:id="rId50">
        <w:r>
          <w:rPr>
            <w:rStyle w:val="Hyperlink"/>
            <w:rFonts w:hint="eastAsia"/>
          </w:rPr>
          <w:t xml:space="preserve">原始论文</w:t>
        </w:r>
      </w:hyperlink>
      <w:r>
        <w:rPr>
          <w:rFonts w:hint="eastAsia"/>
        </w:rPr>
        <w:t xml:space="preserve">。首版发表于</w:t>
      </w:r>
      <w:r>
        <w:t xml:space="preserve"> 2022 </w:t>
      </w:r>
      <w:r>
        <w:rPr>
          <w:rFonts w:hint="eastAsia"/>
        </w:rPr>
        <w:t xml:space="preserve">年，所引版本为</w:t>
      </w:r>
      <w:r>
        <w:t xml:space="preserve"> 2023 </w:t>
      </w:r>
      <w:r>
        <w:rPr>
          <w:rFonts w:hint="eastAsia"/>
        </w:rPr>
        <w:t xml:space="preserve">年。</w:t>
      </w:r>
    </w:p>
    <w:p>
      <w:pPr>
        <w:pStyle w:val="BodyText"/>
      </w:pPr>
      <w:r>
        <w:t xml:space="preserve">[2] Shinn, N., Cassano, F., Berman, E., Gopinath, A., Narasimhan, K., &amp; Yao, S. (2023).</w:t>
      </w:r>
      <w:r>
        <w:t xml:space="preserve"> </w:t>
      </w:r>
      <w:r>
        <w:rPr>
          <w:i/>
          <w:iCs/>
        </w:rPr>
        <w:t xml:space="preserve">Reflexion: Language Agents with Verbal Reinforcement Learning</w:t>
      </w:r>
      <w:r>
        <w:t xml:space="preserve">. arXiv:2303.11366, v4.</w:t>
      </w:r>
      <w:r>
        <w:t xml:space="preserve"> </w:t>
      </w:r>
      <w:hyperlink r:id="rId51">
        <w:r>
          <w:rPr>
            <w:rStyle w:val="Hyperlink"/>
            <w:rFonts w:hint="eastAsia"/>
          </w:rPr>
          <w:t xml:space="preserve">原始论文</w:t>
        </w:r>
      </w:hyperlink>
      <w:r>
        <w:t xml:space="preserve">.</w:t>
      </w:r>
    </w:p>
    <w:p>
      <w:pPr>
        <w:pStyle w:val="BodyText"/>
      </w:pPr>
      <w:r>
        <w:t xml:space="preserve">[3] Gou, Z., Shao, Z., Gong, Y., Shen, Y., Yang, Y., Duan, N., &amp; Chen, W. (2024).</w:t>
      </w:r>
      <w:r>
        <w:t xml:space="preserve"> </w:t>
      </w:r>
      <w:r>
        <w:rPr>
          <w:i/>
          <w:iCs/>
        </w:rPr>
        <w:t xml:space="preserve">CRITIC: Large Language Models Can Self-Correct with Tool-Interactive Critiquing</w:t>
      </w:r>
      <w:r>
        <w:t xml:space="preserve">. arXiv:2305.11738, v4.</w:t>
      </w:r>
      <w:r>
        <w:t xml:space="preserve"> </w:t>
      </w:r>
      <w:hyperlink r:id="rId52">
        <w:r>
          <w:rPr>
            <w:rStyle w:val="Hyperlink"/>
            <w:rFonts w:hint="eastAsia"/>
          </w:rPr>
          <w:t xml:space="preserve">原始论文</w:t>
        </w:r>
      </w:hyperlink>
      <w:r>
        <w:rPr>
          <w:rFonts w:hint="eastAsia"/>
        </w:rPr>
        <w:t xml:space="preserve">。首版为</w:t>
      </w:r>
      <w:r>
        <w:t xml:space="preserve"> 2023 </w:t>
      </w:r>
      <w:r>
        <w:rPr>
          <w:rFonts w:hint="eastAsia"/>
        </w:rPr>
        <w:t xml:space="preserve">年，页面注明</w:t>
      </w:r>
      <w:r>
        <w:t xml:space="preserve"> ICLR 2024。</w:t>
      </w:r>
    </w:p>
    <w:p>
      <w:pPr>
        <w:pStyle w:val="BodyText"/>
      </w:pPr>
      <w:r>
        <w:t xml:space="preserve">[4] Asai, A., Wu, Z., Wang, Y., Sil, A., &amp; Hajishirzi, H. (2023).</w:t>
      </w:r>
      <w:r>
        <w:t xml:space="preserve"> </w:t>
      </w:r>
      <w:r>
        <w:rPr>
          <w:i/>
          <w:iCs/>
        </w:rPr>
        <w:t xml:space="preserve">Self-RAG: Learning to Retrieve, Generate, and Critique through Self-Reflection</w:t>
      </w:r>
      <w:r>
        <w:t xml:space="preserve">. arXiv:2310.11511, v1.</w:t>
      </w:r>
      <w:r>
        <w:t xml:space="preserve"> </w:t>
      </w:r>
      <w:hyperlink r:id="rId53">
        <w:r>
          <w:rPr>
            <w:rStyle w:val="Hyperlink"/>
            <w:rFonts w:hint="eastAsia"/>
          </w:rPr>
          <w:t xml:space="preserve">原始论文与方法正文</w:t>
        </w:r>
      </w:hyperlink>
      <w:r>
        <w:t xml:space="preserve">.</w:t>
      </w:r>
    </w:p>
    <w:p>
      <w:pPr>
        <w:pStyle w:val="BodyText"/>
      </w:pPr>
      <w:r>
        <w:t xml:space="preserve">[5] Kadavath, S., Conerly, T., Askell, A., et al. (2022).</w:t>
      </w:r>
      <w:r>
        <w:t xml:space="preserve"> </w:t>
      </w:r>
      <w:r>
        <w:rPr>
          <w:i/>
          <w:iCs/>
        </w:rPr>
        <w:t xml:space="preserve">Language Models (Mostly) Know What They Know</w:t>
      </w:r>
      <w:r>
        <w:t xml:space="preserve">. arXiv:2207.05221.</w:t>
      </w:r>
      <w:r>
        <w:t xml:space="preserve"> </w:t>
      </w:r>
      <w:hyperlink r:id="rId54">
        <w:r>
          <w:rPr>
            <w:rStyle w:val="Hyperlink"/>
            <w:rFonts w:hint="eastAsia"/>
          </w:rPr>
          <w:t xml:space="preserve">原始论文及完整作者列表</w:t>
        </w:r>
      </w:hyperlink>
      <w:r>
        <w:rPr>
          <w:rFonts w:hint="eastAsia"/>
        </w:rPr>
        <w:t xml:space="preserve">。本稿对长作者名单采用“et</w:t>
      </w:r>
      <w:r>
        <w:t xml:space="preserve"> </w:t>
      </w:r>
      <w:r>
        <w:rPr>
          <w:rFonts w:hint="eastAsia"/>
        </w:rPr>
        <w:t xml:space="preserve">al.”，不据此省略作者归属。</w:t>
      </w:r>
    </w:p>
    <w:p>
      <w:pPr>
        <w:pStyle w:val="BodyText"/>
      </w:pPr>
      <w:r>
        <w:t xml:space="preserve">[6] Huang, J., Chen, X., Mishra, S., Zheng, H. S., Yu, A. W., Song, X., &amp; Zhou, D. (2023).</w:t>
      </w:r>
      <w:r>
        <w:t xml:space="preserve"> </w:t>
      </w:r>
      <w:r>
        <w:rPr>
          <w:i/>
          <w:iCs/>
        </w:rPr>
        <w:t xml:space="preserve">Large Language Models Cannot Self-Correct Reasoning Yet</w:t>
      </w:r>
      <w:r>
        <w:t xml:space="preserve">. arXiv:2310.01798.</w:t>
      </w:r>
      <w:r>
        <w:t xml:space="preserve"> </w:t>
      </w:r>
      <w:hyperlink r:id="rId55">
        <w:r>
          <w:rPr>
            <w:rStyle w:val="Hyperlink"/>
            <w:rFonts w:hint="eastAsia"/>
          </w:rPr>
          <w:t xml:space="preserve">原始论文</w:t>
        </w:r>
      </w:hyperlink>
      <w:r>
        <w:t xml:space="preserve">.</w:t>
      </w:r>
    </w:p>
    <w:p>
      <w:pPr>
        <w:pStyle w:val="BodyText"/>
      </w:pPr>
      <w:r>
        <w:t xml:space="preserve">[7] Kaptein, M., Khan, V.-J., &amp; Podstavnychy, A. (2026).</w:t>
      </w:r>
      <w:r>
        <w:t xml:space="preserve"> </w:t>
      </w:r>
      <w:r>
        <w:rPr>
          <w:i/>
          <w:iCs/>
        </w:rPr>
        <w:t xml:space="preserve">Runtime Governance for AI Agents: Policies on Paths</w:t>
      </w:r>
      <w:r>
        <w:t xml:space="preserve">. arXiv:2603.16586, v1.</w:t>
      </w:r>
      <w:r>
        <w:t xml:space="preserve"> </w:t>
      </w:r>
      <w:hyperlink r:id="rId56">
        <w:r>
          <w:rPr>
            <w:rStyle w:val="Hyperlink"/>
            <w:rFonts w:hint="eastAsia"/>
          </w:rPr>
          <w:t xml:space="preserve">原始论文与方法正文</w:t>
        </w:r>
      </w:hyperlink>
      <w:r>
        <w:t xml:space="preserve">.</w:t>
      </w:r>
    </w:p>
    <w:p>
      <w:pPr>
        <w:pStyle w:val="BodyText"/>
      </w:pPr>
      <w:r>
        <w:t xml:space="preserve">[8] Shen, Z. (2026).</w:t>
      </w:r>
      <w:r>
        <w:t xml:space="preserve"> </w:t>
      </w:r>
      <w:r>
        <w:rPr>
          <w:i/>
          <w:iCs/>
        </w:rPr>
        <w:t xml:space="preserve">Neither Layer Alone: Epistemic Integrity Requires Hierarchical Joint Design for Long-Running AI Agents</w:t>
      </w:r>
      <w:r>
        <w:t xml:space="preserve">. arXiv:2606.04017, v1.</w:t>
      </w:r>
      <w:r>
        <w:t xml:space="preserve"> </w:t>
      </w:r>
      <w:hyperlink r:id="rId57">
        <w:r>
          <w:rPr>
            <w:rStyle w:val="Hyperlink"/>
            <w:rFonts w:hint="eastAsia"/>
          </w:rPr>
          <w:t xml:space="preserve">原始论文与框架正文</w:t>
        </w:r>
      </w:hyperlink>
      <w:r>
        <w:t xml:space="preserve">.</w:t>
      </w:r>
    </w:p>
    <w:p>
      <w:pPr>
        <w:pStyle w:val="BodyText"/>
      </w:pPr>
      <w:r>
        <w:t xml:space="preserve">[9] Elina, U. (2026).</w:t>
      </w:r>
      <w:r>
        <w:t xml:space="preserve"> </w:t>
      </w:r>
      <w:r>
        <w:rPr>
          <w:i/>
          <w:iCs/>
        </w:rPr>
        <w:t xml:space="preserve">Maat: Independent Deterministic Contract-Based Governance for Multi-Agent LLM Workflows</w:t>
      </w:r>
      <w:r>
        <w:t xml:space="preserve">. arXiv:2609.34017.</w:t>
      </w:r>
      <w:r>
        <w:t xml:space="preserve"> </w:t>
      </w:r>
      <w:hyperlink r:id="rId58">
        <w:r>
          <w:rPr>
            <w:rStyle w:val="Hyperlink"/>
            <w:rFonts w:hint="eastAsia"/>
          </w:rPr>
          <w:t xml:space="preserve">原始论文页面</w:t>
        </w:r>
      </w:hyperlink>
      <w:r>
        <w:rPr>
          <w:rFonts w:hint="eastAsia"/>
        </w:rPr>
        <w:t xml:space="preserve">；</w:t>
      </w:r>
      <w:hyperlink r:id="rId59">
        <w:r>
          <w:rPr>
            <w:rStyle w:val="Hyperlink"/>
            <w:rFonts w:hint="eastAsia"/>
          </w:rPr>
          <w:t xml:space="preserve">已读正文</w:t>
        </w:r>
      </w:hyperlink>
      <w:r>
        <w:rPr>
          <w:rFonts w:hint="eastAsia"/>
        </w:rPr>
        <w:t xml:space="preserve">。页面显示</w:t>
      </w:r>
      <w:r>
        <w:t xml:space="preserve"> </w:t>
      </w:r>
      <w:r>
        <w:rPr>
          <w:rFonts w:hint="eastAsia"/>
        </w:rPr>
        <w:t xml:space="preserve">v1，正文包含标注为“v2”的停机审计说明；本稿按实际读取页面记录，不推断另有已核验版本。读取时</w:t>
      </w:r>
      <w:r>
        <w:t xml:space="preserve"> DOI </w:t>
      </w:r>
      <w:r>
        <w:rPr>
          <w:rFonts w:hint="eastAsia"/>
        </w:rPr>
        <w:t xml:space="preserve">状态为待注册。</w:t>
      </w:r>
    </w:p>
    <w:p>
      <w:pPr>
        <w:pStyle w:val="BodyText"/>
      </w:pPr>
      <w:r>
        <w:t xml:space="preserve">[10] Debenedetti, E., Zhang, J., Balunović, M., Beurer-Kellner, L., Fischer, M., &amp; Tramèr, F. (2024).</w:t>
      </w:r>
      <w:r>
        <w:t xml:space="preserve"> </w:t>
      </w:r>
      <w:r>
        <w:rPr>
          <w:i/>
          <w:iCs/>
        </w:rPr>
        <w:t xml:space="preserve">AgentDojo: A Dynamic Environment to Evaluate Prompt Injection Attacks and Defenses for LLM Agents</w:t>
      </w:r>
      <w:r>
        <w:t xml:space="preserve">. arXiv:2406.13352, v3.</w:t>
      </w:r>
      <w:r>
        <w:t xml:space="preserve"> </w:t>
      </w:r>
      <w:hyperlink r:id="rId60">
        <w:r>
          <w:rPr>
            <w:rStyle w:val="Hyperlink"/>
            <w:rFonts w:hint="eastAsia"/>
          </w:rPr>
          <w:t xml:space="preserve">原始论文</w:t>
        </w:r>
      </w:hyperlink>
      <w:r>
        <w:t xml:space="preserve">.</w:t>
      </w:r>
    </w:p>
    <w:p>
      <w:pPr>
        <w:pStyle w:val="BlockText"/>
      </w:pPr>
      <w:r>
        <w:rPr>
          <w:rFonts w:hint="eastAsia"/>
        </w:rPr>
        <w:t xml:space="preserve">核验日期：2026-10-04。预印本的存在不等于同行评审通过或独立复现成功。本次未完成所有文献的独立撤稿核查；投稿渠道尚未选定。</w:t>
      </w:r>
    </w:p>
    <w:bookmarkEnd w:id="61"/>
    <w:bookmarkEnd w:id="62"/>
    <w:sectPr>
      <w:footerReference r:id="rId9" w:type="default"/>
      <w:footnotePr>
        <w:numRestart w:val="eachSect"/>
      </w:footnotePr>
      <w:pgSz w:h="16838" w:w="11906"/>
      <w:pgMar w:bottom="1304" w:left="1417" w:right="1417"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研究初稿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Times New Roman" w:eastAsia="Songti SC" w:hAnsi="Times New Roman"/>
      <w:sz w:val="22"/>
    </w:rPr>
  </w:style>
  <w:style w:styleId="BodyText" w:type="paragraph">
    <w:name w:val="Body Text"/>
    <w:basedOn w:val="Normal"/>
    <w:link w:val="BodyTextChar"/>
    <w:qFormat/>
    <w:pPr>
      <w:spacing w:after="120" w:before="180" w:line="312" w:lineRule="auto"/>
    </w:pPr>
    <w:rPr>
      <w:rFonts w:ascii="Times New Roman" w:eastAsia="Songti SC" w:hAnsi="Times New Roman"/>
      <w:sz w:val="22"/>
    </w:rPr>
  </w:style>
  <w:style w:customStyle="1" w:styleId="FirstParagraph" w:type="paragraph">
    <w:name w:val="First Paragraph"/>
    <w:basedOn w:val="BodyText"/>
    <w:next w:val="BodyText"/>
    <w:qFormat/>
    <w:pPr>
      <w:spacing w:after="120" w:line="312" w:lineRule="auto"/>
    </w:pPr>
    <w:rPr>
      <w:rFonts w:ascii="Times New Roman" w:eastAsia="Songti SC" w:hAnsi="Times New Roman"/>
      <w:sz w:val="22"/>
    </w:rPr>
  </w:style>
  <w:style w:customStyle="1" w:styleId="Compact" w:type="paragraph">
    <w:name w:val="Compact"/>
    <w:basedOn w:val="BodyText"/>
    <w:qFormat/>
    <w:pPr>
      <w:spacing w:after="120" w:before="36" w:line="312" w:lineRule="auto"/>
    </w:pPr>
    <w:rPr>
      <w:rFonts w:ascii="Times New Roman" w:eastAsia="Songti SC" w:hAnsi="Times New Roman"/>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Arial" w:asciiTheme="majorHAnsi" w:cstheme="majorBidi" w:eastAsia="Heiti SC" w:eastAsiaTheme="majorEastAsia" w:hAnsi="Arial" w:hAnsiTheme="majorHAnsi"/>
      <w:color w:val="172B4D"/>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Heiti SC" w:eastAsiaTheme="majorEastAsia" w:hAnsi="Arial" w:hAnsiTheme="majorHAnsi"/>
      <w:color w:val="172B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Heiti SC" w:eastAsiaTheme="majorEastAsia" w:hAnsi="Arial" w:hAnsiTheme="majorHAnsi"/>
      <w:color w:val="172B4D"/>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Heiti SC" w:eastAsiaTheme="majorEastAsia" w:hAnsi="Arial"/>
      <w:color w:val="172B4D"/>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312" w:lineRule="auto"/>
      <w:ind w:firstLine="0" w:left="480" w:right="480"/>
    </w:pPr>
    <w:rPr>
      <w:rFonts w:ascii="Times New Roman" w:eastAsia="Songti SC"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54" Target="https://arxiv.org/abs/2207.05221" TargetMode="External" /><Relationship Type="http://schemas.openxmlformats.org/officeDocument/2006/relationships/hyperlink" Id="rId50" Target="https://arxiv.org/abs/2210.03629v3" TargetMode="External" /><Relationship Type="http://schemas.openxmlformats.org/officeDocument/2006/relationships/hyperlink" Id="rId51" Target="https://arxiv.org/abs/2303.11366v4" TargetMode="External" /><Relationship Type="http://schemas.openxmlformats.org/officeDocument/2006/relationships/hyperlink" Id="rId52" Target="https://arxiv.org/abs/2305.11738v4" TargetMode="External" /><Relationship Type="http://schemas.openxmlformats.org/officeDocument/2006/relationships/hyperlink" Id="rId55" Target="https://arxiv.org/abs/2310.01798" TargetMode="External" /><Relationship Type="http://schemas.openxmlformats.org/officeDocument/2006/relationships/hyperlink" Id="rId60" Target="https://arxiv.org/abs/2406.13352v3" TargetMode="External" /><Relationship Type="http://schemas.openxmlformats.org/officeDocument/2006/relationships/hyperlink" Id="rId58" Target="https://arxiv.org/abs/2609.34017" TargetMode="External" /><Relationship Type="http://schemas.openxmlformats.org/officeDocument/2006/relationships/hyperlink" Id="rId53" Target="https://arxiv.org/html/2310.11511v1" TargetMode="External" /><Relationship Type="http://schemas.openxmlformats.org/officeDocument/2006/relationships/hyperlink" Id="rId56" Target="https://arxiv.org/html/2603.16586v1" TargetMode="External" /><Relationship Type="http://schemas.openxmlformats.org/officeDocument/2006/relationships/hyperlink" Id="rId57" Target="https://arxiv.org/html/2606.04017v1" TargetMode="External" /><Relationship Type="http://schemas.openxmlformats.org/officeDocument/2006/relationships/hyperlink" Id="rId59" Target="https://arxiv.org/html/2609.34017v1" TargetMode="External" /></Relationships>
</file>

<file path=word/_rels/footnotes.xml.rels><?xml version="1.0" encoding="UTF-8"?><Relationships xmlns="http://schemas.openxmlformats.org/package/2006/relationships"><Relationship Type="http://schemas.openxmlformats.org/officeDocument/2006/relationships/hyperlink" Id="rId54" Target="https://arxiv.org/abs/2207.05221" TargetMode="External" /><Relationship Type="http://schemas.openxmlformats.org/officeDocument/2006/relationships/hyperlink" Id="rId50" Target="https://arxiv.org/abs/2210.03629v3" TargetMode="External" /><Relationship Type="http://schemas.openxmlformats.org/officeDocument/2006/relationships/hyperlink" Id="rId51" Target="https://arxiv.org/abs/2303.11366v4" TargetMode="External" /><Relationship Type="http://schemas.openxmlformats.org/officeDocument/2006/relationships/hyperlink" Id="rId52" Target="https://arxiv.org/abs/2305.11738v4" TargetMode="External" /><Relationship Type="http://schemas.openxmlformats.org/officeDocument/2006/relationships/hyperlink" Id="rId55" Target="https://arxiv.org/abs/2310.01798" TargetMode="External" /><Relationship Type="http://schemas.openxmlformats.org/officeDocument/2006/relationships/hyperlink" Id="rId60" Target="https://arxiv.org/abs/2406.13352v3" TargetMode="External" /><Relationship Type="http://schemas.openxmlformats.org/officeDocument/2006/relationships/hyperlink" Id="rId58" Target="https://arxiv.org/abs/2609.34017" TargetMode="External" /><Relationship Type="http://schemas.openxmlformats.org/officeDocument/2006/relationships/hyperlink" Id="rId53" Target="https://arxiv.org/html/2310.11511v1" TargetMode="External" /><Relationship Type="http://schemas.openxmlformats.org/officeDocument/2006/relationships/hyperlink" Id="rId56" Target="https://arxiv.org/html/2603.16586v1" TargetMode="External" /><Relationship Type="http://schemas.openxmlformats.org/officeDocument/2006/relationships/hyperlink" Id="rId57" Target="https://arxiv.org/html/2606.04017v1" TargetMode="External" /><Relationship Type="http://schemas.openxmlformats.org/officeDocument/2006/relationships/hyperlink" Id="rId59" Target="https://arxiv.org/html/2609.34017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2026-10-04T17:12:18Z</dcterms:created>
  <dcterms:modified xsi:type="dcterms:W3CDTF">2026-10-04T17:12:18Z</dcterms:modified>
</cp:coreProperties>
</file>

<file path=docProps/custom.xml><?xml version="1.0" encoding="utf-8"?>
<Properties xmlns="http://schemas.openxmlformats.org/officeDocument/2006/custom-properties" xmlns:vt="http://schemas.openxmlformats.org/officeDocument/2006/docPropsVTypes"/>
</file>