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65D7A5" w14:textId="77777777" w:rsidR="00515E8B" w:rsidRDefault="00DC4D89">
      <w:r>
        <w:t>Dear Prof. Zhang,</w:t>
      </w:r>
    </w:p>
    <w:p w14:paraId="5096D16E" w14:textId="77777777" w:rsidR="00DC4D89" w:rsidRDefault="00DC4D89"/>
    <w:p w14:paraId="6C0EBFB6" w14:textId="77777777" w:rsidR="00515E8B" w:rsidRDefault="00DC4D89">
      <w:r>
        <w:t>Thank you very much for sending us the referee’s report on our manuscript (AAS73042), “</w:t>
      </w:r>
      <w:r>
        <w:t>Constraining Circum-burst Environments of GRBs with Jet Break Features in X-ray Afterglows”. We also thank the referee for the valuable comments and constructive suggestions. We have carefully revised the manuscript in light of these comments. All the modifications in the text are shown in bold face. Our point-by-point responses are as follows.</w:t>
      </w:r>
    </w:p>
    <w:p w14:paraId="5D1D04A9" w14:textId="77777777" w:rsidR="00DC4D89" w:rsidRDefault="00DC4D89"/>
    <w:p w14:paraId="0CDDA31B" w14:textId="77777777" w:rsidR="00515E8B" w:rsidRDefault="00DC4D89">
      <w:r>
        <w:rPr>
          <w:b/>
          <w:bCs/>
          <w:u w:val="single"/>
        </w:rPr>
        <w:t>Major Comments:</w:t>
      </w:r>
    </w:p>
    <w:p w14:paraId="2DC6EB32" w14:textId="77777777" w:rsidR="00515E8B" w:rsidRDefault="00DC4D89">
      <w:r>
        <w:rPr>
          <w:u w:val="single"/>
        </w:rPr>
        <w:t>&gt;(1)</w:t>
      </w:r>
      <w:r>
        <w:t xml:space="preserve"> </w:t>
      </w:r>
      <w:r>
        <w:rPr>
          <w:u w:val="single"/>
        </w:rPr>
        <w:t>The authors are encouraged to discuss in more detail the physical implications of intermediate values of the density profile index (i.e., 0 &lt; k &lt; 2), particularly around k~1. Such values have been reported in several previous studies and may provide important context for the results presented in this work. For instance, Yi, Wu &amp; Dai et al 2013 (ApJ 776, 120) investigated the evolution of forward and reverse shock emission in a stratified medium described by a power-law density profile, applying their model</w:t>
      </w:r>
      <w:r>
        <w:rPr>
          <w:u w:val="single"/>
        </w:rPr>
        <w:t xml:space="preserve"> to 19 GRBs and finding values in the range 0.4{less than or equal to}k{less than or equal to}1.4, with a typical value of k~1. Similarly, Liang et al. 2013 (ApJ 774, 13) analyzed a larger sample of 146 GRBs and obtained consistent results. More recently, Fraija et al. 2023 (MNRAS, 525, 1630) analyzed the Second Gamma-ray Burst Catalogue (2FLGC) reported by the Fermi Large Area Telescope, using synchrotron self-Compton closure relations in a stratified environment. Their findings suggest that intermediate v</w:t>
      </w:r>
      <w:r>
        <w:rPr>
          <w:u w:val="single"/>
        </w:rPr>
        <w:t>alues such as k≈0.5 and k≈1 are favored in several cases. Additionally, Kouveliotou et al. 2013 (ApJ 779, L1) showed, through multiwavelength modeling of GRB 130427A, that an intermediate density profile between the ISM (k=0) and stellar wind (k=2) scenarios provides a better description of the data.</w:t>
      </w:r>
    </w:p>
    <w:p w14:paraId="4339B355" w14:textId="77777777" w:rsidR="00515E8B" w:rsidRDefault="00DC4D89">
      <w:r>
        <w:rPr>
          <w:u w:val="single"/>
        </w:rPr>
        <w:t>In light of these results, the authors should discuss how their findings compare with previous works and whether intermediate density profiles could be relevant for interpreting their sample.</w:t>
      </w:r>
    </w:p>
    <w:p w14:paraId="28C570CB" w14:textId="77777777" w:rsidR="00DC4D89" w:rsidRDefault="00DC4D89">
      <w:pPr>
        <w:rPr>
          <w:b/>
          <w:bCs/>
        </w:rPr>
      </w:pPr>
    </w:p>
    <w:p w14:paraId="17A19960" w14:textId="3D48B145" w:rsidR="00515E8B" w:rsidRDefault="00DC4D89">
      <w:r>
        <w:rPr>
          <w:b/>
          <w:bCs/>
        </w:rPr>
        <w:t>Re:</w:t>
      </w:r>
      <w:r>
        <w:t xml:space="preserve"> Thank you for this valuable suggestion. In the revised manuscript, we have added a new subsection entitled “Physical Interpretation of Intermediate Density Profiles” (Section 4.3) in the Discussion section, where we systematically address this issue.</w:t>
      </w:r>
    </w:p>
    <w:p w14:paraId="2D85B505" w14:textId="77777777" w:rsidR="00515E8B" w:rsidRDefault="00DC4D89">
      <w:r>
        <w:t xml:space="preserve">First, we open this subsection by citing the works mentioned by the referee (Yi et al. 2013; Liang et al. 2013; Fraija et al. 2023; Kouveliotou et al. 2013) and explicitly state that our finding—a significant peak at </w:t>
      </w:r>
      <m:oMath>
        <m:r>
          <w:rPr>
            <w:rFonts w:ascii="Cambria Math" w:hAnsi="Cambria Math"/>
          </w:rPr>
          <m:t>k</m:t>
        </m:r>
        <m:r>
          <m:rPr>
            <m:sty m:val="p"/>
          </m:rPr>
          <w:rPr>
            <w:rFonts w:ascii="Cambria Math" w:hAnsi="Cambria Math"/>
          </w:rPr>
          <m:t>∼</m:t>
        </m:r>
        <m:r>
          <w:rPr>
            <w:rFonts w:ascii="Cambria Math" w:hAnsi="Cambria Math"/>
          </w:rPr>
          <m:t>1</m:t>
        </m:r>
      </m:oMath>
      <w:r>
        <w:t>—is consistent with these earlier results, indicating that this is not a spurious feature but a real physical signature identified across multiple independent studies.</w:t>
      </w:r>
    </w:p>
    <w:p w14:paraId="7D7E3CAE" w14:textId="77777777" w:rsidR="00515E8B" w:rsidRDefault="00DC4D89">
      <w:r>
        <w:t xml:space="preserve">Second, we discuss three possible mechanisms, which are not mutually exclusive, that could produce intermediate </w:t>
      </w:r>
      <m:oMath>
        <m:r>
          <w:rPr>
            <w:rFonts w:ascii="Cambria Math" w:hAnsi="Cambria Math"/>
          </w:rPr>
          <m:t>k</m:t>
        </m:r>
      </m:oMath>
      <w:r>
        <w:t xml:space="preserve"> values: (i) non-ideal stellar wind profiles, which we argue provide the most plausible explanation for the </w:t>
      </w:r>
      <m:oMath>
        <m:r>
          <w:rPr>
            <w:rFonts w:ascii="Cambria Math" w:hAnsi="Cambria Math"/>
          </w:rPr>
          <m:t>k</m:t>
        </m:r>
        <m:r>
          <m:rPr>
            <m:sty m:val="p"/>
          </m:rPr>
          <w:rPr>
            <w:rFonts w:ascii="Cambria Math" w:hAnsi="Cambria Math"/>
          </w:rPr>
          <m:t>∼</m:t>
        </m:r>
        <m:r>
          <w:rPr>
            <w:rFonts w:ascii="Cambria Math" w:hAnsi="Cambria Math"/>
          </w:rPr>
          <m:t>1</m:t>
        </m:r>
      </m:oMath>
      <w:r>
        <w:t xml:space="preserve"> peak, reflecting progenitors with non-standard, variable mass-loss histories that produce effectively flatter density profiles; (ii) relaxation of the idealized assumptions in the uniform jet model, such as structured jets, energy injection, or microphysical parameter evolution, which could systematically shift the observed </w:t>
      </w:r>
      <m:oMath>
        <m:r>
          <w:rPr>
            <w:rFonts w:ascii="Cambria Math" w:hAnsi="Cambria Math"/>
          </w:rPr>
          <m:t>Δα</m:t>
        </m:r>
      </m:oMath>
      <w:r>
        <w:t xml:space="preserve"> and hence the inferred </w:t>
      </w:r>
      <m:oMath>
        <m:r>
          <w:rPr>
            <w:rFonts w:ascii="Cambria Math" w:hAnsi="Cambria Math"/>
          </w:rPr>
          <m:t>k</m:t>
        </m:r>
      </m:oMath>
      <w:r>
        <w:t>; and (iii) a wind-to-ISM transition, which we examine in detail and find unlikely to be the dominant explanation for the large number of intermediate-</w:t>
      </w:r>
      <m:oMath>
        <m:r>
          <w:rPr>
            <w:rFonts w:ascii="Cambria Math" w:hAnsi="Cambria Math"/>
          </w:rPr>
          <m:t>k</m:t>
        </m:r>
      </m:oMath>
      <w:r>
        <w:t xml:space="preserve"> bursts (see also our response to Comment 2 below).</w:t>
      </w:r>
    </w:p>
    <w:p w14:paraId="6EEAE46E" w14:textId="77777777" w:rsidR="00515E8B" w:rsidRDefault="00DC4D89">
      <w:r>
        <w:t xml:space="preserve">Based on these arguments, we conclude that non-ideal stellar wind profiles provide a more plausible and dominant mechanism for explaining the concentration of bursts around </w:t>
      </w:r>
      <m:oMath>
        <m:r>
          <w:rPr>
            <w:rFonts w:ascii="Cambria Math" w:hAnsi="Cambria Math"/>
          </w:rPr>
          <m:t>k</m:t>
        </m:r>
        <m:r>
          <m:rPr>
            <m:sty m:val="p"/>
          </m:rPr>
          <w:rPr>
            <w:rFonts w:ascii="Cambria Math" w:hAnsi="Cambria Math"/>
          </w:rPr>
          <m:t>≈</m:t>
        </m:r>
        <m:r>
          <w:rPr>
            <w:rFonts w:ascii="Cambria Math" w:hAnsi="Cambria Math"/>
          </w:rPr>
          <m:t>1</m:t>
        </m:r>
      </m:oMath>
      <w:r>
        <w:t xml:space="preserve"> in our sample.</w:t>
      </w:r>
    </w:p>
    <w:p w14:paraId="3CCE4D2A" w14:textId="77777777" w:rsidR="00DC4D89" w:rsidRDefault="00DC4D89">
      <w:pPr>
        <w:rPr>
          <w:u w:val="single"/>
        </w:rPr>
      </w:pPr>
    </w:p>
    <w:p w14:paraId="444A4EAA" w14:textId="3984F596" w:rsidR="00515E8B" w:rsidRDefault="00DC4D89">
      <w:proofErr w:type="gramStart"/>
      <w:r>
        <w:rPr>
          <w:u w:val="single"/>
        </w:rPr>
        <w:t>&gt;(</w:t>
      </w:r>
      <w:proofErr w:type="gramEnd"/>
      <w:r>
        <w:rPr>
          <w:u w:val="single"/>
        </w:rPr>
        <w:t>2)</w:t>
      </w:r>
      <w:r>
        <w:t xml:space="preserve"> </w:t>
      </w:r>
      <w:r>
        <w:rPr>
          <w:u w:val="single"/>
        </w:rPr>
        <w:t xml:space="preserve">The manuscript does not consider the possibility that intermediate values of the density </w:t>
      </w:r>
      <w:r>
        <w:rPr>
          <w:u w:val="single"/>
        </w:rPr>
        <w:lastRenderedPageBreak/>
        <w:t xml:space="preserve">profile index (0&lt;k&lt;2) may arise from a transition between a stellar-wind medium and an ISM environment. This scenario has been widely discussed in the literature and may provide a natural explanation for the inferred intermediate values. In particular, a relativistic outflow may initially decelerate in a stellar-wind environment and later propagate into a constant-density ISM. This wind-to-ISM transition can produce </w:t>
      </w:r>
      <w:r>
        <w:rPr>
          <w:u w:val="single"/>
        </w:rPr>
        <w:t>observable signatures in multiwavelength afterglow light curves, as reported in several bursts (e.g., GRB 030226, 050319, 081109A, 140423A, 160626B, and 190114C; Dai &amp; Wu 2003; Kamble et al. 2007; Jin et al. 2009; Li et al. 2020; Fraija et al 2019). For instance, Kong et al. 2010 showed that variations in microphysical parameters are expected in such circumburst structures, successfully modeling multiwavelength observations in GRB 060206, 070311, and 070101A. In addition, Fraija et al. 2019 derived synchrot</w:t>
      </w:r>
      <w:r>
        <w:rPr>
          <w:u w:val="single"/>
        </w:rPr>
        <w:t>ron self-Compton light curves during the wind-to-ISM transition to explain the MAGIC Collaboration observations of GRB 190114C. Given the relevance of this scenario, the authors should explicitly discuss whether a wind-to-ISM transition could account for the intermediate values analysis and how this possibility may affect the interpretation of their results.</w:t>
      </w:r>
    </w:p>
    <w:p w14:paraId="48453788" w14:textId="77777777" w:rsidR="00DC4D89" w:rsidRDefault="00DC4D89">
      <w:pPr>
        <w:rPr>
          <w:b/>
          <w:bCs/>
        </w:rPr>
      </w:pPr>
    </w:p>
    <w:p w14:paraId="71B8AF97" w14:textId="51731DA6" w:rsidR="00515E8B" w:rsidRDefault="00DC4D89">
      <w:r>
        <w:rPr>
          <w:b/>
          <w:bCs/>
        </w:rPr>
        <w:t>Re:</w:t>
      </w:r>
      <w:r>
        <w:t xml:space="preserve"> Thank you for raising this important point. In Section 4.3 of the revised manuscript, we now explicitly discuss the wind-to-ISM transition scenario and its potential impact on our results, citing the works listed by the referee (Dai &amp; Wu 2003; Kamble et al. 2007; Jin et al. 2009; Li et al. 2020; Fraija et al. 2017, 2019).</w:t>
      </w:r>
    </w:p>
    <w:p w14:paraId="553519E8" w14:textId="77777777" w:rsidR="00515E8B" w:rsidRDefault="00DC4D89">
      <w:r>
        <w:t>We present two core arguments for why this scenario is unlikely to be the dominant explanation for the large number of intermediate-</w:t>
      </w:r>
      <m:oMath>
        <m:r>
          <w:rPr>
            <w:rFonts w:ascii="Cambria Math" w:hAnsi="Cambria Math"/>
          </w:rPr>
          <m:t>k</m:t>
        </m:r>
      </m:oMath>
      <w:r>
        <w:t xml:space="preserve"> bursts in our sample. First, a smooth wind-to-ISM transition requires the transition to occur within a specific radius range (</w:t>
      </w:r>
      <m:oMath>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18</m:t>
            </m:r>
          </m:sup>
        </m:sSup>
      </m:oMath>
      <w:r>
        <w:t>–</w:t>
      </w:r>
      <m:oMath>
        <m:sSup>
          <m:sSupPr>
            <m:ctrlPr>
              <w:rPr>
                <w:rFonts w:ascii="Cambria Math" w:hAnsi="Cambria Math"/>
              </w:rPr>
            </m:ctrlPr>
          </m:sSupPr>
          <m:e>
            <m:r>
              <w:rPr>
                <w:rFonts w:ascii="Cambria Math" w:hAnsi="Cambria Math"/>
              </w:rPr>
              <m:t>10</m:t>
            </m:r>
          </m:e>
          <m:sup>
            <m:r>
              <w:rPr>
                <w:rFonts w:ascii="Cambria Math" w:hAnsi="Cambria Math"/>
              </w:rPr>
              <m:t>20</m:t>
            </m:r>
          </m:sup>
        </m:sSup>
      </m:oMath>
      <w:r>
        <w:t xml:space="preserve"> cm; Pe’er &amp; Wijers 2006) and the jet break to happen to take place exactly within this transition zone. Even if such a coincidence occurs, the break feature predicted by the medium-transition model is typically a steep-to-shallow transition, which is opposite to the shallow-to-steep transition characteristic of the jet breaks required by our sample selection. This morphological mismatch indicates that the breaks in our sample are not themselves produced by a medium transition. Second, our </w:t>
      </w:r>
      <m:oMath>
        <m:r>
          <w:rPr>
            <w:rFonts w:ascii="Cambria Math" w:hAnsi="Cambria Math"/>
          </w:rPr>
          <m:t>Δα</m:t>
        </m:r>
      </m:oMath>
      <w:r>
        <w:t xml:space="preserve"> diagnostic probes the local density gradient at the precise moment of the jet break: if the break occurs in the wind-dominated region, one obtains </w:t>
      </w:r>
      <m:oMath>
        <m:r>
          <w:rPr>
            <w:rFonts w:ascii="Cambria Math" w:hAnsi="Cambria Math"/>
          </w:rPr>
          <m:t>k</m:t>
        </m:r>
        <m:r>
          <m:rPr>
            <m:sty m:val="p"/>
          </m:rPr>
          <w:rPr>
            <w:rFonts w:ascii="Cambria Math" w:hAnsi="Cambria Math"/>
          </w:rPr>
          <m:t>≈</m:t>
        </m:r>
        <m:r>
          <w:rPr>
            <w:rFonts w:ascii="Cambria Math" w:hAnsi="Cambria Math"/>
          </w:rPr>
          <m:t>2</m:t>
        </m:r>
      </m:oMath>
      <w:r>
        <w:t xml:space="preserve">, and if in the ISM-dominated region, </w:t>
      </w:r>
      <m:oMath>
        <m:r>
          <w:rPr>
            <w:rFonts w:ascii="Cambria Math" w:hAnsi="Cambria Math"/>
          </w:rPr>
          <m:t>k</m:t>
        </m:r>
        <m:r>
          <m:rPr>
            <m:sty m:val="p"/>
          </m:rPr>
          <w:rPr>
            <w:rFonts w:ascii="Cambria Math" w:hAnsi="Cambria Math"/>
          </w:rPr>
          <m:t>≈</m:t>
        </m:r>
        <m:r>
          <w:rPr>
            <w:rFonts w:ascii="Cambria Math" w:hAnsi="Cambria Math"/>
          </w:rPr>
          <m:t>0</m:t>
        </m:r>
      </m:oMath>
      <w:r>
        <w:t xml:space="preserve">. This method therefore does not naturally produce a continuous range of intermediate </w:t>
      </w:r>
      <m:oMath>
        <m:r>
          <w:rPr>
            <w:rFonts w:ascii="Cambria Math" w:hAnsi="Cambria Math"/>
          </w:rPr>
          <m:t>k</m:t>
        </m:r>
      </m:oMath>
      <w:r>
        <w:t xml:space="preserve"> values.</w:t>
      </w:r>
    </w:p>
    <w:p w14:paraId="712FC267" w14:textId="77777777" w:rsidR="00515E8B" w:rsidRDefault="00DC4D89">
      <w:r>
        <w:t xml:space="preserve">In addition, for GRB 140423A—one of the bursts listed by the referee, for which a wind-to-ISM transition at </w:t>
      </w:r>
      <m:oMath>
        <m:r>
          <m:rPr>
            <m:sty m:val="p"/>
          </m:rPr>
          <w:rPr>
            <w:rFonts w:ascii="Cambria Math" w:hAnsi="Cambria Math"/>
          </w:rPr>
          <m:t>∼</m:t>
        </m:r>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oMath>
      <w:r>
        <w:t xml:space="preserve"> s had been proposed through multi-band modeling (Li et al. 2020)—we now show in Section 4.3 that the jet break we identify at </w:t>
      </w:r>
      <m:oMath>
        <m:r>
          <m:rPr>
            <m:sty m:val="p"/>
          </m:rPr>
          <w:rPr>
            <w:rFonts w:ascii="Cambria Math" w:hAnsi="Cambria Math"/>
          </w:rPr>
          <m:t>∼</m:t>
        </m:r>
        <m:r>
          <w:rPr>
            <w:rFonts w:ascii="Cambria Math" w:hAnsi="Cambria Math"/>
          </w:rPr>
          <m:t>2.6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s, together with the simultaneous optical break (</w:t>
      </w:r>
      <m:oMath>
        <m:r>
          <w:rPr>
            <w:rFonts w:ascii="Cambria Math" w:hAnsi="Cambria Math"/>
          </w:rPr>
          <m:t>Δα</m:t>
        </m:r>
        <m:r>
          <m:rPr>
            <m:sty m:val="p"/>
          </m:rPr>
          <w:rPr>
            <w:rFonts w:ascii="Cambria Math" w:hAnsi="Cambria Math"/>
          </w:rPr>
          <m:t>≈</m:t>
        </m:r>
        <m:r>
          <w:rPr>
            <w:rFonts w:ascii="Cambria Math" w:hAnsi="Cambria Math"/>
          </w:rPr>
          <m:t>0.47</m:t>
        </m:r>
      </m:oMath>
      <w:r>
        <w:t>), consistently indicates a wind-like environment, and that the earlier change in the light-curve behavior is more likely attributable to energy injection than to a medium transition.</w:t>
      </w:r>
    </w:p>
    <w:p w14:paraId="5041E38D" w14:textId="77777777" w:rsidR="00515E8B" w:rsidRDefault="00DC4D89">
      <w:r>
        <w:t>We therefore conclude that a wind-to-ISM transition cannot adequately explain the intermediate density profile indices (</w:t>
      </w:r>
      <m:oMath>
        <m:r>
          <w:rPr>
            <w:rFonts w:ascii="Cambria Math" w:hAnsi="Cambria Math"/>
          </w:rPr>
          <m:t>0</m:t>
        </m:r>
        <m:r>
          <m:rPr>
            <m:sty m:val="p"/>
          </m:rPr>
          <w:rPr>
            <w:rFonts w:ascii="Cambria Math" w:hAnsi="Cambria Math"/>
          </w:rPr>
          <m:t>&lt;</m:t>
        </m:r>
        <m:r>
          <w:rPr>
            <w:rFonts w:ascii="Cambria Math" w:hAnsi="Cambria Math"/>
          </w:rPr>
          <m:t>k</m:t>
        </m:r>
        <m:r>
          <m:rPr>
            <m:sty m:val="p"/>
          </m:rPr>
          <w:rPr>
            <w:rFonts w:ascii="Cambria Math" w:hAnsi="Cambria Math"/>
          </w:rPr>
          <m:t>&lt;</m:t>
        </m:r>
        <m:r>
          <w:rPr>
            <w:rFonts w:ascii="Cambria Math" w:hAnsi="Cambria Math"/>
          </w:rPr>
          <m:t>2</m:t>
        </m:r>
      </m:oMath>
      <w:r>
        <w:t>) observed in our sample. Instead, we interpret these intermediate values as reflecting a population of progenitors with non-standard, variable mass-loss histories, whose circum-burst environments resemble a “weak wind” profile.</w:t>
      </w:r>
    </w:p>
    <w:p w14:paraId="43C178DF" w14:textId="77777777" w:rsidR="00DC4D89" w:rsidRDefault="00DC4D89">
      <w:pPr>
        <w:rPr>
          <w:u w:val="single"/>
        </w:rPr>
      </w:pPr>
    </w:p>
    <w:p w14:paraId="0AC37510" w14:textId="22702829" w:rsidR="00515E8B" w:rsidRDefault="00DC4D89">
      <w:proofErr w:type="gramStart"/>
      <w:r>
        <w:rPr>
          <w:u w:val="single"/>
        </w:rPr>
        <w:t>&gt;(</w:t>
      </w:r>
      <w:proofErr w:type="gramEnd"/>
      <w:r>
        <w:rPr>
          <w:u w:val="single"/>
        </w:rPr>
        <w:t>3)</w:t>
      </w:r>
      <w:r>
        <w:t xml:space="preserve"> </w:t>
      </w:r>
      <w:r>
        <w:rPr>
          <w:u w:val="single"/>
        </w:rPr>
        <w:t xml:space="preserve">The authors briefly mention several mechanisms that could mimic a jet break; however, the potential role of evolving microphysical parameters is not adequately discussed and should be included (see page 5). In particular, time-dependent microphysical parameters can significantly modify the temporal evolution of afterglow light curves and may lead to features that resemble </w:t>
      </w:r>
      <w:r>
        <w:rPr>
          <w:u w:val="single"/>
        </w:rPr>
        <w:lastRenderedPageBreak/>
        <w:t>jet breaks. For example, Fraija et al. 2024 (MNRAS, 527, 1884) derived closure relations and light curves in a stratified medium allow</w:t>
      </w:r>
      <w:r>
        <w:rPr>
          <w:u w:val="single"/>
        </w:rPr>
        <w:t>ing for variations in the microphysical parameters of the synchrotron afterglow model, applying this framework to the 2FLGC sample. Similarly, Misra et al. 2021 (MNRAS, 504, 5685) analyzed late-time observations of GRB 190114C and found evidence that the microphysical parameters of the forward shock evolve with time. Given these results, the authors should discuss whether the inferred jet breaks in their sample could instead be influenced, or even mimicked, by temporal evolution of the microphysical paramet</w:t>
      </w:r>
      <w:r>
        <w:rPr>
          <w:u w:val="single"/>
        </w:rPr>
        <w:t>ers, and how this possibility impacts their conclusions.</w:t>
      </w:r>
    </w:p>
    <w:p w14:paraId="6AA19CB5" w14:textId="77777777" w:rsidR="00DC4D89" w:rsidRDefault="00DC4D89">
      <w:pPr>
        <w:rPr>
          <w:b/>
          <w:bCs/>
        </w:rPr>
      </w:pPr>
    </w:p>
    <w:p w14:paraId="076E9C51" w14:textId="7046E3E4" w:rsidR="00515E8B" w:rsidRDefault="00DC4D89">
      <w:r>
        <w:rPr>
          <w:b/>
          <w:bCs/>
        </w:rPr>
        <w:t>Re:</w:t>
      </w:r>
      <w:r>
        <w:t xml:space="preserve"> Thank you for this insightful comment. In the revised manuscript, we have added a substantial discussion of the effects of evolving microphysical parameters in Section 4.1 (“The Origin of the Break”), and we have added Fraija et al. (2024, MNRAS, 527, 1884), in which the closure relations with evolving microphysical parameters in a stratified medium are derived, to the bibliography.</w:t>
      </w:r>
    </w:p>
    <w:p w14:paraId="396F7710" w14:textId="77777777" w:rsidR="00515E8B" w:rsidRDefault="00DC4D89">
      <w:r>
        <w:t>We acknowledge that time-dependent microphysical parameters (</w:t>
      </w:r>
      <m:oMath>
        <m:sSub>
          <m:sSubPr>
            <m:ctrlPr>
              <w:rPr>
                <w:rFonts w:ascii="Cambria Math" w:hAnsi="Cambria Math"/>
              </w:rPr>
            </m:ctrlPr>
          </m:sSubPr>
          <m:e>
            <m:r>
              <w:rPr>
                <w:rFonts w:ascii="Cambria Math" w:hAnsi="Cambria Math"/>
              </w:rPr>
              <m:t>ϵ</m:t>
            </m:r>
          </m:e>
          <m:sub>
            <m:r>
              <w:rPr>
                <w:rFonts w:ascii="Cambria Math" w:hAnsi="Cambria Math"/>
              </w:rPr>
              <m:t>e</m:t>
            </m:r>
          </m:sub>
        </m:sSub>
      </m:oMath>
      <w:r>
        <w:t xml:space="preserve"> and </w:t>
      </w:r>
      <m:oMath>
        <m:sSub>
          <m:sSubPr>
            <m:ctrlPr>
              <w:rPr>
                <w:rFonts w:ascii="Cambria Math" w:hAnsi="Cambria Math"/>
              </w:rPr>
            </m:ctrlPr>
          </m:sSubPr>
          <m:e>
            <m:r>
              <w:rPr>
                <w:rFonts w:ascii="Cambria Math" w:hAnsi="Cambria Math"/>
              </w:rPr>
              <m:t>ϵ</m:t>
            </m:r>
          </m:e>
          <m:sub>
            <m:r>
              <w:rPr>
                <w:rFonts w:ascii="Cambria Math" w:hAnsi="Cambria Math"/>
              </w:rPr>
              <m:t>B</m:t>
            </m:r>
          </m:sub>
        </m:sSub>
      </m:oMath>
      <w:r>
        <w:t>) can indeed modify afterglow decay indices (Misra et al. 2021; Fraija et al. 2024), and note that the evidence for such evolution has been predominantly established in the GeV–TeV band, where synchrotron self-Compton radiation is highly sensitive to variations in these parameters (Fraija et al. 2023, 2024).</w:t>
      </w:r>
    </w:p>
    <w:p w14:paraId="04377E07" w14:textId="77777777" w:rsidR="00515E8B" w:rsidRDefault="00DC4D89">
      <w:r>
        <w:t xml:space="preserve">However, we present three reasons why this mechanism is unlikely to be the dominant cause of the breaks in our sample. First, our sample selection explicitly targets bursts with pre-break decay slopes of </w:t>
      </w:r>
      <m:oMath>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α</m:t>
            </m:r>
          </m:e>
          <m:sub>
            <m:r>
              <w:rPr>
                <w:rFonts w:ascii="Cambria Math" w:hAnsi="Cambria Math"/>
              </w:rPr>
              <m:t>1</m:t>
            </m:r>
          </m:sub>
        </m:sSub>
        <m:r>
          <m:rPr>
            <m:sty m:val="p"/>
          </m:rPr>
          <w:rPr>
            <w:rFonts w:ascii="Cambria Math" w:hAnsi="Cambria Math"/>
          </w:rPr>
          <m:t>∼</m:t>
        </m:r>
        <m:r>
          <w:rPr>
            <w:rFonts w:ascii="Cambria Math" w:hAnsi="Cambria Math"/>
          </w:rPr>
          <m:t>1</m:t>
        </m:r>
      </m:oMath>
      <w:r>
        <w:t xml:space="preserve">) and post-break slopes of </w:t>
      </w:r>
      <m:oMath>
        <m:r>
          <m:rPr>
            <m:sty m:val="p"/>
          </m:rPr>
          <w:rPr>
            <w:rFonts w:ascii="Cambria Math" w:hAnsi="Cambria Math"/>
          </w:rPr>
          <m:t>∼-</m:t>
        </m:r>
        <m:r>
          <w:rPr>
            <w:rFonts w:ascii="Cambria Math" w:hAnsi="Cambria Math"/>
          </w:rPr>
          <m:t>2</m:t>
        </m:r>
      </m:oMath>
      <w:r>
        <w:t xml:space="preserve"> (</w:t>
      </w:r>
      <m:oMath>
        <m:sSub>
          <m:sSubPr>
            <m:ctrlPr>
              <w:rPr>
                <w:rFonts w:ascii="Cambria Math" w:hAnsi="Cambria Math"/>
              </w:rPr>
            </m:ctrlPr>
          </m:sSubPr>
          <m:e>
            <m:r>
              <w:rPr>
                <w:rFonts w:ascii="Cambria Math" w:hAnsi="Cambria Math"/>
              </w:rPr>
              <m:t>α</m:t>
            </m:r>
          </m:e>
          <m:sub>
            <m:r>
              <w:rPr>
                <w:rFonts w:ascii="Cambria Math" w:hAnsi="Cambria Math"/>
              </w:rPr>
              <m:t>2</m:t>
            </m:r>
          </m:sub>
        </m:sSub>
        <m:r>
          <m:rPr>
            <m:sty m:val="p"/>
          </m:rPr>
          <w:rPr>
            <w:rFonts w:ascii="Cambria Math" w:hAnsi="Cambria Math"/>
          </w:rPr>
          <m:t>∼</m:t>
        </m:r>
        <m:r>
          <w:rPr>
            <w:rFonts w:ascii="Cambria Math" w:hAnsi="Cambria Math"/>
          </w:rPr>
          <m:t>2</m:t>
        </m:r>
      </m:oMath>
      <w:r>
        <w:t xml:space="preserve">), which are the canonical signatures of a geometric jet break; in the evolving-parameter framework, the decay indices depend on the specific evolutionary indices of </w:t>
      </w:r>
      <m:oMath>
        <m:sSub>
          <m:sSubPr>
            <m:ctrlPr>
              <w:rPr>
                <w:rFonts w:ascii="Cambria Math" w:hAnsi="Cambria Math"/>
              </w:rPr>
            </m:ctrlPr>
          </m:sSubPr>
          <m:e>
            <m:r>
              <w:rPr>
                <w:rFonts w:ascii="Cambria Math" w:hAnsi="Cambria Math"/>
              </w:rPr>
              <m:t>ϵ</m:t>
            </m:r>
          </m:e>
          <m:sub>
            <m:r>
              <w:rPr>
                <w:rFonts w:ascii="Cambria Math" w:hAnsi="Cambria Math"/>
              </w:rPr>
              <m:t>e</m:t>
            </m:r>
          </m:sub>
        </m:sSub>
      </m:oMath>
      <w:r>
        <w:t xml:space="preserve"> and </w:t>
      </w:r>
      <m:oMath>
        <m:sSub>
          <m:sSubPr>
            <m:ctrlPr>
              <w:rPr>
                <w:rFonts w:ascii="Cambria Math" w:hAnsi="Cambria Math"/>
              </w:rPr>
            </m:ctrlPr>
          </m:sSubPr>
          <m:e>
            <m:r>
              <w:rPr>
                <w:rFonts w:ascii="Cambria Math" w:hAnsi="Cambria Math"/>
              </w:rPr>
              <m:t>ϵ</m:t>
            </m:r>
          </m:e>
          <m:sub>
            <m:r>
              <w:rPr>
                <w:rFonts w:ascii="Cambria Math" w:hAnsi="Cambria Math"/>
              </w:rPr>
              <m:t>B</m:t>
            </m:r>
          </m:sub>
        </m:sSub>
      </m:oMath>
      <w:r>
        <w:t xml:space="preserve">, so bursts significantly affected by microphysical evolution would likely deviate from these canonical values and thus would not satisfy our selection criteria. Second, the typical observational signatures produced by evolving microphysical parameters in the Fraija et al. (2024) framework are plateaus and peaks in the high-energy light curves, rather than sharp jet-break-like transitions; our study instead focuses on X-ray synchrotron emission, the standard component used to identify jet breaks, and Misra </w:t>
      </w:r>
      <w:r>
        <w:t>et al. (2021) did not suggest that such evolution alone produces sharp, jet-break-like features in the X-ray band. Third, within our multi-band subsample, the majority of well-sampled events exhibit achromatic breaks (Section 4.2), which is a hallmark of a geometric jet break and not a generic prediction of microphysical evolution models.</w:t>
      </w:r>
    </w:p>
    <w:p w14:paraId="5FEA8485" w14:textId="77777777" w:rsidR="00515E8B" w:rsidRDefault="00DC4D89">
      <w:r>
        <w:t>We therefore conclude that while microphysical evolution may contribute to detailed features in some individual afterglows, particularly at high energies, it is unlikely to be the primary mechanism producing the prominent, well-defined breaks analyzed in this work.</w:t>
      </w:r>
    </w:p>
    <w:p w14:paraId="59CD4EEB" w14:textId="77777777" w:rsidR="00DC4D89" w:rsidRDefault="00DC4D89">
      <w:pPr>
        <w:rPr>
          <w:u w:val="single"/>
        </w:rPr>
      </w:pPr>
    </w:p>
    <w:p w14:paraId="42EAC213" w14:textId="5505C7C2" w:rsidR="00515E8B" w:rsidRDefault="00DC4D89">
      <w:proofErr w:type="gramStart"/>
      <w:r>
        <w:rPr>
          <w:u w:val="single"/>
        </w:rPr>
        <w:t>&gt;(</w:t>
      </w:r>
      <w:proofErr w:type="gramEnd"/>
      <w:r>
        <w:rPr>
          <w:u w:val="single"/>
        </w:rPr>
        <w:t>4) The derivation of Eq. (3) is incorrect. In particular, the exponent of the isotropic gamma-ray energy is inconsistent; it should be -1/8 rather than +1/8. The authors are encouraged to revise this expression and verify whether this correction affects the subsequent analysis, especially the results derived for the GBM sample.</w:t>
      </w:r>
    </w:p>
    <w:p w14:paraId="432431FD" w14:textId="77777777" w:rsidR="00515E8B" w:rsidRDefault="00DC4D89">
      <w:r>
        <w:rPr>
          <w:u w:val="single"/>
        </w:rPr>
        <w:t>In addition, the manuscript would benefit from clarifying the assumptions adopted in Eq. (4). Specifically, the authors should explicitly state the values assumed for the wind velocity and the mass-loss rate used to estimate the circumburst density.</w:t>
      </w:r>
    </w:p>
    <w:p w14:paraId="64DF1407" w14:textId="77777777" w:rsidR="00DC4D89" w:rsidRDefault="00DC4D89">
      <w:pPr>
        <w:rPr>
          <w:b/>
          <w:bCs/>
        </w:rPr>
      </w:pPr>
    </w:p>
    <w:p w14:paraId="5E9E7DA4" w14:textId="3459675C" w:rsidR="00515E8B" w:rsidRDefault="00DC4D89">
      <w:r>
        <w:rPr>
          <w:b/>
          <w:bCs/>
        </w:rPr>
        <w:t>Re:</w:t>
      </w:r>
      <w:r>
        <w:t xml:space="preserve"> Thank you for pointing out this error. The “+1/8” exponent on the isotropic gamma-ray energy in Eq. (3) was a typographical error introduced when transcribing the formula into LaTeX. </w:t>
      </w:r>
      <w:r>
        <w:lastRenderedPageBreak/>
        <w:t xml:space="preserve">We have carefully checked our analysis code and confirm that it implemented the correct exponent of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8</m:t>
        </m:r>
      </m:oMath>
      <w:r>
        <w:t>; therefore, all derived quantities (</w:t>
      </w:r>
      <m:oMath>
        <m:sSub>
          <m:sSubPr>
            <m:ctrlPr>
              <w:rPr>
                <w:rFonts w:ascii="Cambria Math" w:hAnsi="Cambria Math"/>
              </w:rPr>
            </m:ctrlPr>
          </m:sSubPr>
          <m:e>
            <m:r>
              <w:rPr>
                <w:rFonts w:ascii="Cambria Math" w:hAnsi="Cambria Math"/>
              </w:rPr>
              <m:t>θ</m:t>
            </m:r>
          </m:e>
          <m:sub>
            <m:r>
              <w:rPr>
                <w:rFonts w:ascii="Cambria Math" w:hAnsi="Cambria Math"/>
              </w:rPr>
              <m:t>j</m:t>
            </m:r>
          </m:sub>
        </m:sSub>
      </m:oMath>
      <w:r>
        <w:t xml:space="preserve"> and </w:t>
      </w:r>
      <m:oMath>
        <m:sSub>
          <m:sSubPr>
            <m:ctrlPr>
              <w:rPr>
                <w:rFonts w:ascii="Cambria Math" w:hAnsi="Cambria Math"/>
              </w:rPr>
            </m:ctrlPr>
          </m:sSubPr>
          <m:e>
            <m:r>
              <w:rPr>
                <w:rFonts w:ascii="Cambria Math" w:hAnsi="Cambria Math"/>
              </w:rPr>
              <m:t>E</m:t>
            </m:r>
          </m:e>
          <m:sub>
            <m:r>
              <w:rPr>
                <w:rFonts w:ascii="Cambria Math" w:hAnsi="Cambria Math"/>
              </w:rPr>
              <m:t>γ</m:t>
            </m:r>
          </m:sub>
        </m:sSub>
      </m:oMath>
      <w:r>
        <w:t xml:space="preserve"> in Figure 5 and Table 2) are unaffected. We have corrected Eq. (3) in the revised manuscript.</w:t>
      </w:r>
    </w:p>
    <w:p w14:paraId="0146E867" w14:textId="77777777" w:rsidR="00515E8B" w:rsidRDefault="00DC4D89">
      <w:r>
        <w:t xml:space="preserve">Following the referee’s suggestion, we have also stated explicitly in Section 3.2 the assumptions adopted in Eq. (4): the wind parameter </w:t>
      </w:r>
      <m:oMath>
        <m:sSub>
          <m:sSubPr>
            <m:ctrlPr>
              <w:rPr>
                <w:rFonts w:ascii="Cambria Math" w:hAnsi="Cambria Math"/>
              </w:rPr>
            </m:ctrlPr>
          </m:sSubPr>
          <m:e>
            <m:r>
              <w:rPr>
                <w:rFonts w:ascii="Cambria Math" w:hAnsi="Cambria Math"/>
              </w:rPr>
              <m:t>A</m:t>
            </m:r>
          </m:e>
          <m:sub>
            <m:r>
              <m:rPr>
                <m:sty m:val="p"/>
              </m:rPr>
              <w:rPr>
                <w:rFonts w:ascii="Cambria Math" w:hAnsi="Cambria Math"/>
              </w:rPr>
              <m:t>*</m:t>
            </m:r>
          </m:sub>
        </m:sSub>
      </m:oMath>
      <w:r>
        <w:t xml:space="preserve"> is defined via the wind density profile </w:t>
      </w:r>
      <m:oMath>
        <m:r>
          <w:rPr>
            <w:rFonts w:ascii="Cambria Math" w:hAnsi="Cambria Math"/>
          </w:rPr>
          <m:t>ρ</m:t>
        </m:r>
        <m:d>
          <m:dPr>
            <m:ctrlPr>
              <w:rPr>
                <w:rFonts w:ascii="Cambria Math" w:hAnsi="Cambria Math"/>
              </w:rPr>
            </m:ctrlPr>
          </m:dPr>
          <m:e>
            <m:r>
              <w:rPr>
                <w:rFonts w:ascii="Cambria Math" w:hAnsi="Cambria Math"/>
              </w:rPr>
              <m:t>r</m:t>
            </m:r>
          </m:e>
        </m:d>
        <m:r>
          <m:rPr>
            <m:sty m:val="p"/>
          </m:rPr>
          <w:rPr>
            <w:rFonts w:ascii="Cambria Math" w:hAnsi="Cambria Math"/>
          </w:rPr>
          <m:t>=</m:t>
        </m:r>
        <m:r>
          <w:rPr>
            <w:rFonts w:ascii="Cambria Math" w:hAnsi="Cambria Math"/>
          </w:rPr>
          <m:t>A</m:t>
        </m:r>
        <m:sSup>
          <m:sSupPr>
            <m:ctrlPr>
              <w:rPr>
                <w:rFonts w:ascii="Cambria Math" w:hAnsi="Cambria Math"/>
              </w:rPr>
            </m:ctrlPr>
          </m:sSupPr>
          <m:e>
            <m:r>
              <w:rPr>
                <w:rFonts w:ascii="Cambria Math" w:hAnsi="Cambria Math"/>
              </w:rPr>
              <m:t>r</m:t>
            </m:r>
          </m:e>
          <m:sup>
            <m:r>
              <m:rPr>
                <m:sty m:val="p"/>
              </m:rPr>
              <w:rPr>
                <w:rFonts w:ascii="Cambria Math" w:hAnsi="Cambria Math"/>
              </w:rPr>
              <m:t>-</m:t>
            </m:r>
            <m:r>
              <w:rPr>
                <w:rFonts w:ascii="Cambria Math" w:hAnsi="Cambria Math"/>
              </w:rPr>
              <m:t>2</m:t>
            </m:r>
          </m:sup>
        </m:sSup>
      </m:oMath>
      <w:r>
        <w:t xml:space="preserve"> with </w:t>
      </w:r>
      <m:oMath>
        <m:r>
          <w:rPr>
            <w:rFonts w:ascii="Cambria Math" w:hAnsi="Cambria Math"/>
          </w:rPr>
          <m:t>A</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w</m:t>
            </m:r>
          </m:sub>
        </m:sSub>
        <m:r>
          <m:rPr>
            <m:sty m:val="p"/>
          </m:rPr>
          <w:rPr>
            <w:rFonts w:ascii="Cambria Math" w:hAnsi="Cambria Math"/>
          </w:rPr>
          <m:t>/</m:t>
        </m:r>
        <m:r>
          <w:rPr>
            <w:rFonts w:ascii="Cambria Math" w:hAnsi="Cambria Math"/>
          </w:rPr>
          <m:t>4</m:t>
        </m:r>
        <m:r>
          <w:rPr>
            <w:rFonts w:ascii="Cambria Math" w:hAnsi="Cambria Math"/>
          </w:rPr>
          <m:t>π</m:t>
        </m:r>
        <m:sSub>
          <m:sSubPr>
            <m:ctrlPr>
              <w:rPr>
                <w:rFonts w:ascii="Cambria Math" w:hAnsi="Cambria Math"/>
              </w:rPr>
            </m:ctrlPr>
          </m:sSubPr>
          <m:e>
            <m:r>
              <w:rPr>
                <w:rFonts w:ascii="Cambria Math" w:hAnsi="Cambria Math"/>
              </w:rPr>
              <m:t>V</m:t>
            </m:r>
          </m:e>
          <m:sub>
            <m:r>
              <w:rPr>
                <w:rFonts w:ascii="Cambria Math" w:hAnsi="Cambria Math"/>
              </w:rPr>
              <m:t>w</m:t>
            </m:r>
          </m:sub>
        </m:sSub>
        <m:r>
          <m:rPr>
            <m:sty m:val="p"/>
          </m:rPr>
          <w:rPr>
            <w:rFonts w:ascii="Cambria Math" w:hAnsi="Cambria Math"/>
          </w:rPr>
          <m:t>=</m:t>
        </m:r>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11</m:t>
            </m:r>
          </m:sup>
        </m:sSup>
        <m:sSub>
          <m:sSubPr>
            <m:ctrlPr>
              <w:rPr>
                <w:rFonts w:ascii="Cambria Math" w:hAnsi="Cambria Math"/>
              </w:rPr>
            </m:ctrlPr>
          </m:sSubPr>
          <m:e>
            <m:r>
              <w:rPr>
                <w:rFonts w:ascii="Cambria Math" w:hAnsi="Cambria Math"/>
              </w:rPr>
              <m:t>A</m:t>
            </m:r>
          </m:e>
          <m:sub>
            <m:r>
              <m:rPr>
                <m:sty m:val="p"/>
              </m:rPr>
              <w:rPr>
                <w:rFonts w:ascii="Cambria Math" w:hAnsi="Cambria Math"/>
              </w:rPr>
              <m:t>*</m:t>
            </m:r>
          </m:sub>
        </m:sSub>
        <m:r>
          <w:rPr>
            <w:rFonts w:ascii="Cambria Math" w:hAnsi="Cambria Math"/>
          </w:rPr>
          <m:t> </m:t>
        </m:r>
        <m:r>
          <m:rPr>
            <m:sty m:val="p"/>
          </m:rPr>
          <w:rPr>
            <w:rFonts w:ascii="Cambria Math" w:hAnsi="Cambria Math"/>
          </w:rPr>
          <m:t>g c</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m:t>
            </m:r>
            <m:r>
              <m:rPr>
                <m:sty m:val="p"/>
              </m:rPr>
              <w:rPr>
                <w:rFonts w:ascii="Cambria Math" w:hAnsi="Cambria Math"/>
              </w:rPr>
              <m:t>1</m:t>
            </m:r>
          </m:sup>
        </m:sSup>
      </m:oMath>
      <w:r>
        <w:t xml:space="preserve">, and the fiducial value </w:t>
      </w:r>
      <m:oMath>
        <m:sSub>
          <m:sSubPr>
            <m:ctrlPr>
              <w:rPr>
                <w:rFonts w:ascii="Cambria Math" w:hAnsi="Cambria Math"/>
              </w:rPr>
            </m:ctrlPr>
          </m:sSubPr>
          <m:e>
            <m:r>
              <w:rPr>
                <w:rFonts w:ascii="Cambria Math" w:hAnsi="Cambria Math"/>
              </w:rPr>
              <m:t>A</m:t>
            </m:r>
          </m:e>
          <m:sub>
            <m:r>
              <m:rPr>
                <m:sty m:val="p"/>
              </m:rPr>
              <w:rPr>
                <w:rFonts w:ascii="Cambria Math" w:hAnsi="Cambria Math"/>
              </w:rPr>
              <m:t>*</m:t>
            </m:r>
          </m:sub>
        </m:sSub>
        <m:r>
          <m:rPr>
            <m:sty m:val="p"/>
          </m:rPr>
          <w:rPr>
            <w:rFonts w:ascii="Cambria Math" w:hAnsi="Cambria Math"/>
          </w:rPr>
          <m:t>=</m:t>
        </m:r>
        <m:r>
          <w:rPr>
            <w:rFonts w:ascii="Cambria Math" w:hAnsi="Cambria Math"/>
          </w:rPr>
          <m:t>1</m:t>
        </m:r>
      </m:oMath>
      <w:r>
        <w:t xml:space="preserve"> corresponds to a mass-loss rate </w:t>
      </w: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w</m:t>
            </m:r>
          </m:sub>
        </m:sSub>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r>
          <w:rPr>
            <w:rFonts w:ascii="Cambria Math" w:hAnsi="Cambria Math"/>
          </w:rPr>
          <m:t> </m:t>
        </m:r>
        <m:sSub>
          <m:sSubPr>
            <m:ctrlPr>
              <w:rPr>
                <w:rFonts w:ascii="Cambria Math" w:hAnsi="Cambria Math"/>
              </w:rPr>
            </m:ctrlPr>
          </m:sSubPr>
          <m:e>
            <m:r>
              <w:rPr>
                <w:rFonts w:ascii="Cambria Math" w:hAnsi="Cambria Math"/>
              </w:rPr>
              <m:t>M</m:t>
            </m:r>
          </m:e>
          <m:sub>
            <m:r>
              <m:rPr>
                <m:sty m:val="p"/>
              </m:rPr>
              <w:rPr>
                <w:rFonts w:ascii="Cambria Math" w:hAnsi="Cambria Math"/>
              </w:rPr>
              <m:t>⊙</m:t>
            </m:r>
          </m:sub>
        </m:sSub>
        <m:r>
          <w:rPr>
            <w:rFonts w:ascii="Cambria Math" w:hAnsi="Cambria Math"/>
          </w:rPr>
          <m:t> </m:t>
        </m:r>
        <m:r>
          <m:rPr>
            <m:sty m:val="p"/>
          </m:rPr>
          <w:rPr>
            <w:rFonts w:ascii="Cambria Math" w:hAnsi="Cambria Math"/>
          </w:rPr>
          <m:t>y</m:t>
        </m:r>
        <m:sSup>
          <m:sSupPr>
            <m:ctrlPr>
              <w:rPr>
                <w:rFonts w:ascii="Cambria Math" w:hAnsi="Cambria Math"/>
              </w:rPr>
            </m:ctrlPr>
          </m:sSupPr>
          <m:e>
            <m:r>
              <m:rPr>
                <m:sty m:val="p"/>
              </m:rPr>
              <w:rPr>
                <w:rFonts w:ascii="Cambria Math" w:hAnsi="Cambria Math"/>
              </w:rPr>
              <m:t>r</m:t>
            </m:r>
          </m:e>
          <m:sup>
            <m:r>
              <m:rPr>
                <m:sty m:val="p"/>
              </m:rPr>
              <w:rPr>
                <w:rFonts w:ascii="Cambria Math" w:hAnsi="Cambria Math"/>
              </w:rPr>
              <m:t>-</m:t>
            </m:r>
            <m:r>
              <m:rPr>
                <m:sty m:val="p"/>
              </m:rPr>
              <w:rPr>
                <w:rFonts w:ascii="Cambria Math" w:hAnsi="Cambria Math"/>
              </w:rPr>
              <m:t>1</m:t>
            </m:r>
          </m:sup>
        </m:sSup>
      </m:oMath>
      <w:r>
        <w:t xml:space="preserve"> and a wind velocity </w:t>
      </w:r>
      <m:oMath>
        <m:sSub>
          <m:sSubPr>
            <m:ctrlPr>
              <w:rPr>
                <w:rFonts w:ascii="Cambria Math" w:hAnsi="Cambria Math"/>
              </w:rPr>
            </m:ctrlPr>
          </m:sSubPr>
          <m:e>
            <m:r>
              <w:rPr>
                <w:rFonts w:ascii="Cambria Math" w:hAnsi="Cambria Math"/>
              </w:rPr>
              <m:t>V</m:t>
            </m:r>
          </m:e>
          <m:sub>
            <m:r>
              <w:rPr>
                <w:rFonts w:ascii="Cambria Math" w:hAnsi="Cambria Math"/>
              </w:rPr>
              <m:t>w</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r>
          <w:rPr>
            <w:rFonts w:ascii="Cambria Math" w:hAnsi="Cambria Math"/>
          </w:rPr>
          <m:t> </m:t>
        </m:r>
        <m:r>
          <m:rPr>
            <m:sty m:val="p"/>
          </m:rPr>
          <w:rPr>
            <w:rFonts w:ascii="Cambria Math" w:hAnsi="Cambria Math"/>
          </w:rPr>
          <m:t>km 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r>
              <m:rPr>
                <m:sty m:val="p"/>
              </m:rPr>
              <w:rPr>
                <w:rFonts w:ascii="Cambria Math" w:hAnsi="Cambria Math"/>
              </w:rPr>
              <m:t>1</m:t>
            </m:r>
          </m:sup>
        </m:sSup>
      </m:oMath>
      <w:r>
        <w:t>.</w:t>
      </w:r>
    </w:p>
    <w:p w14:paraId="54A9100F" w14:textId="77777777" w:rsidR="00DC4D89" w:rsidRDefault="00DC4D89">
      <w:pPr>
        <w:rPr>
          <w:b/>
          <w:bCs/>
          <w:u w:val="single"/>
        </w:rPr>
      </w:pPr>
    </w:p>
    <w:p w14:paraId="184E7982" w14:textId="5D10480D" w:rsidR="00515E8B" w:rsidRDefault="00DC4D89">
      <w:r>
        <w:rPr>
          <w:b/>
          <w:bCs/>
          <w:u w:val="single"/>
        </w:rPr>
        <w:t>Minor Comments:</w:t>
      </w:r>
    </w:p>
    <w:p w14:paraId="15982BA6" w14:textId="77777777" w:rsidR="00515E8B" w:rsidRDefault="00DC4D89">
      <w:r>
        <w:rPr>
          <w:u w:val="single"/>
        </w:rPr>
        <w:t>&gt;(1) The acronym for X-ray Telescope (XRT) should be defined at its first occurrence in the manuscript (page 3, line 181). Please ensure that all acronyms are properly introduced upon first use.</w:t>
      </w:r>
    </w:p>
    <w:p w14:paraId="696CAFCF" w14:textId="77777777" w:rsidR="00DC4D89" w:rsidRDefault="00DC4D89">
      <w:pPr>
        <w:rPr>
          <w:b/>
          <w:bCs/>
        </w:rPr>
      </w:pPr>
    </w:p>
    <w:p w14:paraId="09CF3FDC" w14:textId="74D9FA85" w:rsidR="00515E8B" w:rsidRDefault="00DC4D89">
      <w:r>
        <w:rPr>
          <w:b/>
          <w:bCs/>
        </w:rPr>
        <w:t>Re:</w:t>
      </w:r>
      <w:r>
        <w:t xml:space="preserve"> Thank you for your careful attention. We have added the definition of the Swift X-ray Telescope (XRT) at its first occurrence in Section 2.1. We have also checked all other acronyms and, in the revised version, additionally define the Second Fermi-LAT Gamma-Ray Burst Catalog (2FLGC; Ajello et al. 2019) at its first occurrence in Section 4.3.</w:t>
      </w:r>
    </w:p>
    <w:p w14:paraId="133EA8AF" w14:textId="77777777" w:rsidR="00DC4D89" w:rsidRDefault="00DC4D89">
      <w:pPr>
        <w:rPr>
          <w:u w:val="single"/>
        </w:rPr>
      </w:pPr>
    </w:p>
    <w:p w14:paraId="6ED18DC2" w14:textId="09A17CD5" w:rsidR="00515E8B" w:rsidRDefault="00DC4D89">
      <w:proofErr w:type="gramStart"/>
      <w:r>
        <w:rPr>
          <w:u w:val="single"/>
        </w:rPr>
        <w:t>&gt;(</w:t>
      </w:r>
      <w:proofErr w:type="gramEnd"/>
      <w:r>
        <w:rPr>
          <w:u w:val="single"/>
        </w:rPr>
        <w:t>2) The readability of Figures 1 and 2 should be improved. In their current form, the axis labels and legends are too small, making the figures difficult to read. The authors are encouraged to increase the font size and ensure that all elements are clearly legible.</w:t>
      </w:r>
    </w:p>
    <w:p w14:paraId="789762FE" w14:textId="77777777" w:rsidR="00DC4D89" w:rsidRDefault="00DC4D89">
      <w:pPr>
        <w:rPr>
          <w:b/>
          <w:bCs/>
        </w:rPr>
      </w:pPr>
    </w:p>
    <w:p w14:paraId="783841D3" w14:textId="65DA08FB" w:rsidR="00515E8B" w:rsidRDefault="00DC4D89">
      <w:r>
        <w:rPr>
          <w:b/>
          <w:bCs/>
        </w:rPr>
        <w:t>Re:</w:t>
      </w:r>
      <w:r>
        <w:t xml:space="preserve"> Thank you for this constructive suggestion. We have increased the font sizes of the axis labels and legends in all panels of Figures 1 and 2 to ensure that all elements are clearly legible.</w:t>
      </w:r>
    </w:p>
    <w:p w14:paraId="1DE382DE" w14:textId="77777777" w:rsidR="00DC4D89" w:rsidRDefault="00DC4D89">
      <w:pPr>
        <w:rPr>
          <w:u w:val="single"/>
        </w:rPr>
      </w:pPr>
    </w:p>
    <w:p w14:paraId="214224EE" w14:textId="62BD93FF" w:rsidR="00515E8B" w:rsidRDefault="00DC4D89">
      <w:proofErr w:type="gramStart"/>
      <w:r>
        <w:rPr>
          <w:u w:val="single"/>
        </w:rPr>
        <w:t>&gt;(</w:t>
      </w:r>
      <w:proofErr w:type="gramEnd"/>
      <w:r>
        <w:rPr>
          <w:u w:val="single"/>
        </w:rPr>
        <w:t>3) The current placement of tables and figures is not appropriate. Figures 6 and 7 interrupt Table 1, which affects readability. Please reorganize the layout to ensure a clear and consistent presentation.</w:t>
      </w:r>
    </w:p>
    <w:p w14:paraId="3C774D0B" w14:textId="77777777" w:rsidR="00DC4D89" w:rsidRDefault="00DC4D89">
      <w:pPr>
        <w:rPr>
          <w:b/>
          <w:bCs/>
        </w:rPr>
      </w:pPr>
    </w:p>
    <w:p w14:paraId="018F79E2" w14:textId="3C204156" w:rsidR="00515E8B" w:rsidRDefault="00DC4D89">
      <w:r>
        <w:rPr>
          <w:b/>
          <w:bCs/>
        </w:rPr>
        <w:t>Re:</w:t>
      </w:r>
      <w:r>
        <w:t xml:space="preserve"> </w:t>
      </w:r>
      <w:r>
        <w:t>Thank you for pointing out this formatting issue. We have reorganized the layout so that all figures (Figures 1–7) now appear together before the tables, and Table 1 is no longer interrupted by any figures.</w:t>
      </w:r>
    </w:p>
    <w:p w14:paraId="17DACF64" w14:textId="77777777" w:rsidR="00DC4D89" w:rsidRDefault="00DC4D89"/>
    <w:p w14:paraId="46D0EAA3" w14:textId="77777777" w:rsidR="00DC4D89" w:rsidRDefault="00DC4D89"/>
    <w:p w14:paraId="78438826" w14:textId="4052E2BB" w:rsidR="00515E8B" w:rsidRDefault="00DC4D89">
      <w:r>
        <w:t>We hope that the revised version is now suitable for publication in ApJ. Thank you very much for your kind consideration.</w:t>
      </w:r>
    </w:p>
    <w:p w14:paraId="51CB0AB9" w14:textId="77777777" w:rsidR="00515E8B" w:rsidRDefault="00DC4D89">
      <w:r>
        <w:t>Sincerely yours,</w:t>
      </w:r>
    </w:p>
    <w:p w14:paraId="75673664" w14:textId="77777777" w:rsidR="00515E8B" w:rsidRDefault="00DC4D89">
      <w:r>
        <w:t>Si-Ji Xin, Shuang-Xi Yi and Yuan-Chuan Zou</w:t>
      </w:r>
    </w:p>
    <w:sectPr w:rsidR="00515E8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B27933" w14:textId="77777777" w:rsidR="00DC4D89" w:rsidRDefault="00DC4D89">
      <w:r>
        <w:separator/>
      </w:r>
    </w:p>
  </w:endnote>
  <w:endnote w:type="continuationSeparator" w:id="0">
    <w:p w14:paraId="74696954" w14:textId="77777777" w:rsidR="00DC4D89" w:rsidRDefault="00DC4D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MBX10">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EE8154" w14:textId="77777777" w:rsidR="00515E8B" w:rsidRDefault="00DC4D89">
      <w:r>
        <w:separator/>
      </w:r>
    </w:p>
  </w:footnote>
  <w:footnote w:type="continuationSeparator" w:id="0">
    <w:p w14:paraId="3EBD9623" w14:textId="77777777" w:rsidR="00515E8B" w:rsidRDefault="00DC4D8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E5FA2E8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4454661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420"/>
  <w:drawingGridHorizontalSpacing w:val="360"/>
  <w:drawingGridVerticalSpacing w:val="156"/>
  <w:displayHorizontalDrawingGridEvery w:val="0"/>
  <w:displayVerticalDrawingGridEvery w:val="0"/>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5E8B"/>
    <w:rsid w:val="00515E8B"/>
    <w:rsid w:val="009E5AE4"/>
    <w:rsid w:val="00DC4D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E03735"/>
  <w15:docId w15:val="{1994F10F-E9DD-4B75-A52C-2566C7CE2C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rPr>
      <w:sz w:val="24"/>
    </w:rPr>
  </w:style>
  <w:style w:type="paragraph" w:styleId="a4">
    <w:name w:val="Balloon Text"/>
    <w:basedOn w:val="a"/>
    <w:link w:val="a5"/>
    <w:rsid w:val="00214F48"/>
    <w:rPr>
      <w:sz w:val="18"/>
      <w:szCs w:val="18"/>
    </w:rPr>
  </w:style>
  <w:style w:type="character" w:customStyle="1" w:styleId="a5">
    <w:name w:val="批注框文本 字符"/>
    <w:basedOn w:val="a0"/>
    <w:link w:val="a4"/>
    <w:rsid w:val="00214F48"/>
    <w:rPr>
      <w:rFonts w:asciiTheme="minorHAnsi" w:eastAsiaTheme="minorEastAsia" w:hAnsiTheme="minorHAnsi" w:cstheme="minorBidi"/>
      <w:kern w:val="2"/>
      <w:sz w:val="18"/>
      <w:szCs w:val="18"/>
    </w:rPr>
  </w:style>
  <w:style w:type="paragraph" w:styleId="a6">
    <w:name w:val="header"/>
    <w:basedOn w:val="a"/>
    <w:link w:val="a7"/>
    <w:rsid w:val="00214F48"/>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rsid w:val="00214F48"/>
    <w:rPr>
      <w:rFonts w:asciiTheme="minorHAnsi" w:eastAsiaTheme="minorEastAsia" w:hAnsiTheme="minorHAnsi" w:cstheme="minorBidi"/>
      <w:kern w:val="2"/>
      <w:sz w:val="18"/>
      <w:szCs w:val="18"/>
    </w:rPr>
  </w:style>
  <w:style w:type="paragraph" w:styleId="a8">
    <w:name w:val="footer"/>
    <w:basedOn w:val="a"/>
    <w:link w:val="a9"/>
    <w:rsid w:val="00214F48"/>
    <w:pPr>
      <w:tabs>
        <w:tab w:val="center" w:pos="4153"/>
        <w:tab w:val="right" w:pos="8306"/>
      </w:tabs>
      <w:snapToGrid w:val="0"/>
      <w:jc w:val="left"/>
    </w:pPr>
    <w:rPr>
      <w:sz w:val="18"/>
      <w:szCs w:val="18"/>
    </w:rPr>
  </w:style>
  <w:style w:type="character" w:customStyle="1" w:styleId="a9">
    <w:name w:val="页脚 字符"/>
    <w:basedOn w:val="a0"/>
    <w:link w:val="a8"/>
    <w:rsid w:val="00214F48"/>
    <w:rPr>
      <w:rFonts w:asciiTheme="minorHAnsi" w:eastAsiaTheme="minorEastAsia" w:hAnsiTheme="minorHAnsi" w:cstheme="minorBidi"/>
      <w:kern w:val="2"/>
      <w:sz w:val="18"/>
      <w:szCs w:val="18"/>
    </w:rPr>
  </w:style>
  <w:style w:type="character" w:customStyle="1" w:styleId="fontstyle01">
    <w:name w:val="fontstyle01"/>
    <w:basedOn w:val="a0"/>
    <w:rsid w:val="00FB37D3"/>
    <w:rPr>
      <w:rFonts w:ascii="CMBX10" w:hAnsi="CMBX10" w:hint="default"/>
      <w:b/>
      <w:bCs/>
      <w:i w:val="0"/>
      <w:iCs w:val="0"/>
      <w:color w:val="000000"/>
      <w:sz w:val="20"/>
      <w:szCs w:val="20"/>
    </w:r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5</Pages>
  <Words>2050</Words>
  <Characters>11689</Characters>
  <Application>Microsoft Office Word</Application>
  <DocSecurity>4</DocSecurity>
  <Lines>97</Lines>
  <Paragraphs>27</Paragraphs>
  <ScaleCrop>false</ScaleCrop>
  <Company/>
  <LinksUpToDate>false</LinksUpToDate>
  <CharactersWithSpaces>13712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zou yc</dc:creator>
  <cp:keywords/>
  <cp:lastModifiedBy>zou yc</cp:lastModifiedBy>
  <cp:revision>2</cp:revision>
  <dcterms:created xsi:type="dcterms:W3CDTF">2026-07-14T14:03:00Z</dcterms:created>
  <dcterms:modified xsi:type="dcterms:W3CDTF">2026-07-14T14:03:00Z</dcterms:modified>
</cp:coreProperties>
</file>