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Summary of Further Revisions</w:t>
      </w:r>
    </w:p>
    <w:p>
      <w:pPr>
        <w:spacing w:after="160"/>
        <w:jc w:val="center"/>
      </w:pPr>
      <w:r>
        <w:rPr>
          <w:rFonts w:ascii="Times New Roman" w:cs="Times New Roman" w:eastAsia="Times New Roman" w:hAnsi="Times New Roman"/>
          <w:i/>
          <w:iCs/>
          <w:sz w:val="22"/>
          <w:szCs w:val="22"/>
        </w:rPr>
        <w:t xml:space="preserve">Manuscript: "Spectroscopic Signature of r-process Nucleosynthesis in a Gamma-Ray Burst: Resonant Deuterium Absorption in GRB 210704A" (GRB210704A-kilonova_v3_songxy.tex)</w:t>
      </w:r>
    </w:p>
    <w:p>
      <w:pPr>
        <w:spacing w:after="160"/>
      </w:pPr>
      <w:r>
        <w:rPr>
          <w:rFonts w:ascii="Times New Roman" w:cs="Times New Roman" w:eastAsia="Times New Roman" w:hAnsi="Times New Roman"/>
          <w:color w:val="888888"/>
          <w:sz w:val="20"/>
          <w:szCs w:val="20"/>
        </w:rPr>
        <w:t xml:space="preserve">Note (internal): the file response.docx currently in this folder is the response letter of a different manuscript (AAS73042, the jet-break paper); it has not been touched. The points below describe the present round of revisions and are written so that they can be merged directly into the point-by-point response letter of this paper. Every change can be inspected in GRB210704A-kilonova_v3_changes.pdf (latexdiff: additions in blue, deletions in red).</w:t>
      </w:r>
    </w:p>
    <w:p>
      <w:pPr>
        <w:spacing w:after="160"/>
      </w:pPr>
      <w:r>
        <w:rPr>
          <w:rFonts w:ascii="Times New Roman" w:cs="Times New Roman" w:eastAsia="Times New Roman" w:hAnsi="Times New Roman"/>
          <w:b/>
          <w:bCs/>
          <w:sz w:val="22"/>
          <w:szCs w:val="22"/>
        </w:rPr>
        <w:t xml:space="preserve">In the revised manuscript, we have made the following further modifications:</w:t>
      </w:r>
    </w:p>
    <w:p>
      <w:pPr>
        <w:pStyle w:val="ListParagraph"/>
        <w:numPr>
          <w:ilvl w:val="0"/>
          <w:numId w:val="2"/>
        </w:numPr>
        <w:spacing w:after="160"/>
      </w:pPr>
      <w:r>
        <w:rPr>
          <w:rFonts w:ascii="Times New Roman" w:cs="Times New Roman" w:eastAsia="Times New Roman" w:hAnsi="Times New Roman"/>
          <w:sz w:val="22"/>
          <w:szCs w:val="22"/>
        </w:rPr>
        <w:t xml:space="preserve">Consistency of the timescale argument. The introductory sentence of the "Timescales and Nucleosynthesis" section still described the comoving dynamical time as being "on the order of hundreds of seconds", a leftover from the previous version, whereas the revised derivation gives t′_dyn ≈ R/(Γc) ~ 0.1 s. The text now consistently states that the comoving dynamical time is only a fraction of a second, which is far too short for elements heavier than deuterium to form through β-decay-limited chains. The internal-shock radius formula has also been made internally consistent by including the cosmological factor (1+z) in the analytic expression, R ≃ 2Γ²cδt/(1+z).</w:t>
      </w:r>
    </w:p>
    <w:p>
      <w:pPr>
        <w:pStyle w:val="ListParagraph"/>
        <w:numPr>
          <w:ilvl w:val="0"/>
          <w:numId w:val="2"/>
        </w:numPr>
        <w:spacing w:after="160"/>
      </w:pPr>
      <w:r>
        <w:rPr>
          <w:rFonts w:ascii="Times New Roman" w:cs="Times New Roman" w:eastAsia="Times New Roman" w:hAnsi="Times New Roman"/>
          <w:sz w:val="22"/>
          <w:szCs w:val="22"/>
        </w:rPr>
        <w:t xml:space="preserve">Completion of the Lorentz-factor argument. We now state explicitly that even with Γ = 900 (the upper end of the estimated range 500–900), the comoving gap energy would be 1.2–2.2 MeV; the deuterium resonance energy (~4–5 MeV) therefore pins the Lorentz factor of the emitting shells down to around 300, and Γ = 10^2.5 is adopted as the typical value. The previously garbled sentence expressing this logic has been rewritten. In addition, the consistency check with the afterglow-based estimate of Γ ≈ 1000 ± 600 (Pieterse et al. 2026) has been restored in the appendix.</w:t>
      </w:r>
    </w:p>
    <w:p>
      <w:pPr>
        <w:pStyle w:val="ListParagraph"/>
        <w:numPr>
          <w:ilvl w:val="0"/>
          <w:numId w:val="2"/>
        </w:numPr>
        <w:spacing w:after="160"/>
      </w:pPr>
      <w:r>
        <w:rPr>
          <w:rFonts w:ascii="Times New Roman" w:cs="Times New Roman" w:eastAsia="Times New Roman" w:hAnsi="Times New Roman"/>
          <w:sz w:val="22"/>
          <w:szCs w:val="22"/>
        </w:rPr>
        <w:t xml:space="preserve">Dimensional consistency in the Discussion. The estimate of the outflow energetics mixed energies and luminosities (E_tot,iso = E_γ,iso/ε_γ followed by L_K ≲ (1−ε_γ)L_tot,iso with L_tot,iso undefined). The revised text works consistently with luminosities: L_tot,iso = L_γ,iso/ε_γ, in line with the numerical values quoted (L_γ,iso = 1.0×10⁵⁴ erg s⁻¹, L_K ~ 10⁵⁵ erg s⁻¹).</w:t>
      </w:r>
    </w:p>
    <w:p>
      <w:pPr>
        <w:pStyle w:val="ListParagraph"/>
        <w:numPr>
          <w:ilvl w:val="0"/>
          <w:numId w:val="2"/>
        </w:numPr>
        <w:spacing w:after="160"/>
      </w:pPr>
      <w:r>
        <w:rPr>
          <w:rFonts w:ascii="Times New Roman" w:cs="Times New Roman" w:eastAsia="Times New Roman" w:hAnsi="Times New Roman"/>
          <w:sz w:val="22"/>
          <w:szCs w:val="22"/>
        </w:rPr>
        <w:t xml:space="preserve">Correction of a misidentified statement about the absorbed photons. The sentence "the GeV photons at the gap should be absorbed by the deuterium" has been corrected to state that the photons falling in the resonant band are absorbed, while the other photons escape freely from electron scattering.</w:t>
      </w:r>
    </w:p>
    <w:p>
      <w:pPr>
        <w:pStyle w:val="ListParagraph"/>
        <w:numPr>
          <w:ilvl w:val="0"/>
          <w:numId w:val="2"/>
        </w:numPr>
        <w:spacing w:after="160"/>
      </w:pPr>
      <w:r>
        <w:rPr>
          <w:rFonts w:ascii="Times New Roman" w:cs="Times New Roman" w:eastAsia="Times New Roman" w:hAnsi="Times New Roman"/>
          <w:sz w:val="22"/>
          <w:szCs w:val="22"/>
        </w:rPr>
        <w:t xml:space="preserve">Corrections of broken LaTeX and labels. These include the malformed math constructs T_{dur,\\lab} (rendered incorrectly) and "\\\\rm{cm}" in the pair-production cross-section; the unnumbered-but-labelled equation for the comoving proton density (now a properly numbered equation); and a duplicated equation label (eq:sigmaKN-GBM used twice), which produced a multiply-defined-label warning.</w:t>
      </w:r>
    </w:p>
    <w:p>
      <w:pPr>
        <w:pStyle w:val="ListParagraph"/>
        <w:numPr>
          <w:ilvl w:val="0"/>
          <w:numId w:val="2"/>
        </w:numPr>
        <w:spacing w:after="160"/>
      </w:pPr>
      <w:r>
        <w:rPr>
          <w:rFonts w:ascii="Times New Roman" w:cs="Times New Roman" w:eastAsia="Times New Roman" w:hAnsi="Times New Roman"/>
          <w:sz w:val="22"/>
          <w:szCs w:val="22"/>
        </w:rPr>
        <w:t xml:space="preserve">Figure/text consistency in Appendix C. The panel order of the spectral-modeling figure is (a) mBB+PL, (b) BAND+PL, (c) mBB+BAND, while both the text and the caption listed "mBB+BAND, mBB+PL and BAND+PL". The text and the caption now follow the actual panel order, and the panel letters are given in the caption. A citation to Band et al. (1993) that was accidentally left attached to "a PL function" in the main text has been removed.</w:t>
      </w:r>
    </w:p>
    <w:p>
      <w:pPr>
        <w:pStyle w:val="ListParagraph"/>
        <w:numPr>
          <w:ilvl w:val="0"/>
          <w:numId w:val="2"/>
        </w:numPr>
        <w:spacing w:after="160"/>
      </w:pPr>
      <w:r>
        <w:rPr>
          <w:rFonts w:ascii="Times New Roman" w:cs="Times New Roman" w:eastAsia="Times New Roman" w:hAnsi="Times New Roman"/>
          <w:sz w:val="22"/>
          <w:szCs w:val="22"/>
        </w:rPr>
        <w:t xml:space="preserve">Removal of an unfinished stub. The appendix subsection "Estimation based on statistical correlation" contained only an incomplete opening sentence; it has been commented out (with an internal note on how to complete it with the Γ–E_iso/Γ–L_iso empirical relations, should the authors wish to keep it).</w:t>
      </w:r>
    </w:p>
    <w:p>
      <w:pPr>
        <w:pStyle w:val="ListParagraph"/>
        <w:numPr>
          <w:ilvl w:val="0"/>
          <w:numId w:val="2"/>
        </w:numPr>
        <w:spacing w:after="160"/>
      </w:pPr>
      <w:r>
        <w:rPr>
          <w:rFonts w:ascii="Times New Roman" w:cs="Times New Roman" w:eastAsia="Times New Roman" w:hAnsi="Times New Roman"/>
          <w:sz w:val="22"/>
          <w:szCs w:val="22"/>
        </w:rPr>
        <w:t xml:space="preserve">Terminology and language. "high-enthalpy winds" has been restored to the standard "high-entropy winds"; "outflow ejected from a merger" is now "ejected from the central engine", consistent with the adopted z = 2.34 (collapsar) baseline; the typography of r-process has been unified ($r$-process); the description of the redshift determination now reads "confirming Ly-α absorption through a line-stacking analysis of the afterglow spectrum"; and numerous grammatical and typographical issues have been fixed throughout (quotation marks, en-dashes used as minus signs in the gtlike footnote, "Lorentz Factor" → "Lorentz factor", "correltions", subject-verb agreement, citation-command styles, etc.). The full list is documented in INTERNAL_CHANGES.md.</w:t>
      </w:r>
    </w:p>
    <w:p>
      <w:pPr>
        <w:spacing w:after="160"/>
      </w:pPr>
      <w:r>
        <w:rPr>
          <w:rFonts w:ascii="Times New Roman" w:cs="Times New Roman" w:eastAsia="Times New Roman" w:hAnsi="Times New Roman"/>
          <w:i/>
          <w:iCs/>
          <w:sz w:val="22"/>
          <w:szCs w:val="22"/>
        </w:rPr>
        <w:t xml:space="preserve">The revised manuscript compiles without errors, undefined references, or multiply-defined labels.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5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2026-07-19T02:12:36.834Z</dcterms:created>
  <dcterms:modified xsi:type="dcterms:W3CDTF">2026-07-19T02:12:36.848Z</dcterms:modified>
</cp:coreProperties>
</file>

<file path=docProps/custom.xml><?xml version="1.0" encoding="utf-8"?>
<Properties xmlns="http://schemas.openxmlformats.org/officeDocument/2006/custom-properties" xmlns:vt="http://schemas.openxmlformats.org/officeDocument/2006/docPropsVTypes"/>
</file>