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eastAsia="微软雅黑"/>
          <w:b/>
          <w:sz w:val="48"/>
        </w:rPr>
        <w:t>单定子交替极横向磁通直线振荡电机</w:t>
        <w:br/>
        <w:t>仿真诊断报告</w:t>
      </w:r>
    </w:p>
    <w:p>
      <w:pPr>
        <w:spacing w:before="320" w:after="720"/>
        <w:jc w:val="center"/>
      </w:pPr>
      <w:r>
        <w:rPr>
          <w:rFonts w:ascii="Arial" w:hAnsi="Arial" w:eastAsia="微软雅黑"/>
          <w:b w:val="0"/>
          <w:color w:val="323232"/>
          <w:sz w:val="26"/>
        </w:rPr>
        <w:t>原理迁移合理性  仿真设置复核  推力不足原因分析</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621"/>
        <w:gridCol w:w="4621"/>
      </w:tblGrid>
      <w:tr>
        <w:trPr>
          <w:tblHeader w:val="true"/>
        </w:trPr>
        <w:tc>
          <w:tcPr>
            <w:tcW w:type="dxa" w:w="170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项目</w:t>
            </w:r>
          </w:p>
        </w:tc>
        <w:tc>
          <w:tcPr>
            <w:tcW w:type="dxa" w:w="6690"/>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内容</w:t>
            </w:r>
          </w:p>
        </w:tc>
      </w:tr>
      <w:tr>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仿真模型</w:t>
            </w:r>
          </w:p>
        </w:tc>
        <w:tc>
          <w:tcPr>
            <w:tcW w:type="dxa" w:w="6690"/>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my_LOM(3).aedt，best 设计，Maxwell 3D Magnetostatic</w:t>
            </w:r>
          </w:p>
        </w:tc>
      </w:tr>
      <w:tr>
        <w:tc>
          <w:tcPr>
            <w:tcW w:type="dxa" w:w="170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研究对象</w:t>
            </w:r>
          </w:p>
        </w:tc>
        <w:tc>
          <w:tcPr>
            <w:tcW w:type="dxa" w:w="6690"/>
            <w:shd w:fill="F3F7FA"/>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单定子交替极动磁式横向磁通直线振荡电机</w:t>
            </w:r>
          </w:p>
        </w:tc>
      </w:tr>
      <w:tr>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对比对象</w:t>
            </w:r>
          </w:p>
        </w:tc>
        <w:tc>
          <w:tcPr>
            <w:tcW w:type="dxa" w:w="6690"/>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双定子结构、双动子结构</w:t>
            </w:r>
          </w:p>
        </w:tc>
      </w:tr>
      <w:tr>
        <w:tc>
          <w:tcPr>
            <w:tcW w:type="dxa" w:w="170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诊断范围</w:t>
            </w:r>
          </w:p>
        </w:tc>
        <w:tc>
          <w:tcPr>
            <w:tcW w:type="dxa" w:w="6690"/>
            <w:shd w:fill="F3F7FA"/>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网格、激励、永磁体极性、受力对象、气隙磁场与 Maxwell 应力</w:t>
            </w:r>
          </w:p>
        </w:tc>
      </w:tr>
      <w:tr>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汇报时间</w:t>
            </w:r>
          </w:p>
        </w:tc>
        <w:tc>
          <w:tcPr>
            <w:tcW w:type="dxa" w:w="6690"/>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2026年10月</w:t>
            </w:r>
          </w:p>
        </w:tc>
      </w:tr>
    </w:tbl>
    <w:p>
      <w:pPr>
        <w:spacing w:after="20"/>
      </w:pPr>
    </w:p>
    <w:p>
      <w:pPr>
        <w:spacing w:before="680"/>
        <w:jc w:val="center"/>
      </w:pPr>
      <w:r>
        <w:rPr>
          <w:rFonts w:ascii="Arial" w:hAnsi="Arial" w:eastAsia="微软雅黑"/>
          <w:color w:val="505050"/>
          <w:sz w:val="23"/>
        </w:rPr>
        <w:t>课题阶段汇报材料</w:t>
      </w:r>
    </w:p>
    <w:p>
      <w:r>
        <w:br w:type="page"/>
      </w:r>
    </w:p>
    <w:p>
      <w:pPr>
        <w:pStyle w:val="Heading1"/>
        <w:keepNext/>
      </w:pPr>
      <w:r>
        <w:rPr>
          <w:rFonts w:ascii="Arial" w:hAnsi="Arial" w:eastAsia="微软雅黑"/>
          <w:b/>
          <w:color w:val="000000"/>
          <w:sz w:val="32"/>
        </w:rPr>
        <w:t>结论先行</w:t>
      </w:r>
    </w:p>
    <w:p>
      <w:pPr/>
      <w:r>
        <w:rPr>
          <w:rFonts w:ascii="Times New Roman" w:hAnsi="Times New Roman" w:eastAsia="宋体"/>
          <w:sz w:val="21"/>
        </w:rPr>
        <w:t>现有证据表明，将交替极思想迁移到该动磁式横向磁通直线振荡电机在原理上可行；当前性能不足主要来自迁移后的磁极宽度、相对位置、磁阻和饱和程度没有重新匹配。模型已经形成交替磁场，正负电流能产生方向相反且中心位置近似对称的推力，因此不支持“交替极原理完全不适用”这一判断。</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81"/>
        <w:gridCol w:w="3081"/>
        <w:gridCol w:w="3081"/>
      </w:tblGrid>
      <w:tr>
        <w:trPr>
          <w:tblHeader w:val="true"/>
        </w:trPr>
        <w:tc>
          <w:tcPr>
            <w:tcW w:type="dxa" w:w="170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判定事项</w:t>
            </w:r>
          </w:p>
        </w:tc>
        <w:tc>
          <w:tcPr>
            <w:tcW w:type="dxa" w:w="1474"/>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结论</w:t>
            </w:r>
          </w:p>
        </w:tc>
        <w:tc>
          <w:tcPr>
            <w:tcW w:type="dxa" w:w="5216"/>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关键证据</w:t>
            </w:r>
          </w:p>
        </w:tc>
      </w:tr>
      <w:tr>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原理能否迁移</w:t>
            </w:r>
          </w:p>
        </w:tc>
        <w:tc>
          <w:tcPr>
            <w:tcW w:type="dxa" w:w="1474"/>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可以</w:t>
            </w:r>
          </w:p>
        </w:tc>
        <w:tc>
          <w:tcPr>
            <w:tcW w:type="dxa" w:w="5216"/>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两个交替磁极均产生同向净推力，磁场存在清晰正负交替</w:t>
            </w:r>
          </w:p>
        </w:tc>
      </w:tr>
      <w:tr>
        <w:tc>
          <w:tcPr>
            <w:tcW w:type="dxa" w:w="170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网格是否导致低推力</w:t>
            </w:r>
          </w:p>
        </w:tc>
        <w:tc>
          <w:tcPr>
            <w:tcW w:type="dxa" w:w="1474"/>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不是主因</w:t>
            </w:r>
          </w:p>
        </w:tc>
        <w:tc>
          <w:tcPr>
            <w:tcW w:type="dxa" w:w="5216"/>
            <w:shd w:fill="F3F7FA"/>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局部网格减半后，±1 A平均绝对差约0.09 N，最大约0.215 N</w:t>
            </w:r>
          </w:p>
        </w:tc>
      </w:tr>
      <w:tr>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电流方向是否错误</w:t>
            </w:r>
          </w:p>
        </w:tc>
        <w:tc>
          <w:tcPr>
            <w:tcW w:type="dxa" w:w="1474"/>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基本正确</w:t>
            </w:r>
          </w:p>
        </w:tc>
        <w:tc>
          <w:tcPr>
            <w:tcW w:type="dxa" w:w="5216"/>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中心位置±1 A应力增量为+353.1和−352.2 N/m</w:t>
            </w:r>
          </w:p>
        </w:tc>
      </w:tr>
      <w:tr>
        <w:tc>
          <w:tcPr>
            <w:tcW w:type="dxa" w:w="170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永磁体极性是否错误</w:t>
            </w:r>
          </w:p>
        </w:tc>
        <w:tc>
          <w:tcPr>
            <w:tcW w:type="dxa" w:w="1474"/>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原极性正确</w:t>
            </w:r>
          </w:p>
        </w:tc>
        <w:tc>
          <w:tcPr>
            <w:tcW w:type="dxa" w:w="5216"/>
            <w:shd w:fill="F3F7FA"/>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反转定子永磁体后，零电流偏置升至6.93 N，推力失去对称性</w:t>
            </w:r>
          </w:p>
        </w:tc>
      </w:tr>
      <w:tr>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主要结构问题</w:t>
            </w:r>
          </w:p>
        </w:tc>
        <w:tc>
          <w:tcPr>
            <w:tcW w:type="dxa" w:w="1474"/>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第二磁极利用不足</w:t>
            </w:r>
          </w:p>
        </w:tc>
        <w:tc>
          <w:tcPr>
            <w:tcW w:type="dxa" w:w="5216"/>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中心位置第一磁极贡献76.4%，第二磁极仅22.4%</w:t>
            </w:r>
          </w:p>
        </w:tc>
      </w:tr>
      <w:tr>
        <w:tc>
          <w:tcPr>
            <w:tcW w:type="dxa" w:w="170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伴随问题</w:t>
            </w:r>
          </w:p>
        </w:tc>
        <w:tc>
          <w:tcPr>
            <w:tcW w:type="dxa" w:w="1474"/>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局部饱和与反向应力</w:t>
            </w:r>
          </w:p>
        </w:tc>
        <w:tc>
          <w:tcPr>
            <w:tcW w:type="dxa" w:w="5216"/>
            <w:shd w:fill="F3F7FA"/>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第二磁极约46.5%的潜在贡献被反向应力抵消</w:t>
            </w:r>
          </w:p>
        </w:tc>
      </w:tr>
    </w:tbl>
    <w:p>
      <w:pPr>
        <w:spacing w:after="20"/>
      </w:pPr>
    </w:p>
    <w:p>
      <w:pPr/>
      <w:r>
        <w:rPr>
          <w:rFonts w:ascii="Times New Roman" w:hAnsi="Times New Roman" w:eastAsia="宋体"/>
          <w:sz w:val="21"/>
        </w:rPr>
        <w:t>现有三种模型的永磁体体积并不相同，因此“相同永磁体用量下推力更大”应以单位永磁体推力评价。单定子交替极结构的单位永磁体推力为2.377 N/cm³，优于双动子结构的1.874 N/cm³，但低于双定子结构的2.776 N/cm³；同时其推力波动率达到11.5%，明显高于另外两种结构。</w:t>
      </w:r>
    </w:p>
    <w:p>
      <w:pPr>
        <w:pStyle w:val="Heading1"/>
        <w:keepNext/>
      </w:pPr>
      <w:r>
        <w:rPr>
          <w:rFonts w:ascii="Arial" w:hAnsi="Arial" w:eastAsia="微软雅黑"/>
          <w:b/>
          <w:color w:val="000000"/>
          <w:sz w:val="32"/>
        </w:rPr>
        <w:t>1 研究背景与问题</w:t>
      </w:r>
    </w:p>
    <w:p>
      <w:pPr/>
      <w:r>
        <w:rPr>
          <w:rFonts w:ascii="Times New Roman" w:hAnsi="Times New Roman" w:eastAsia="宋体"/>
          <w:sz w:val="21"/>
        </w:rPr>
        <w:t>该设计以动磁式横向磁通直线振荡电机为基础，参考双交替极横向磁通永磁电机及双交替极横向磁通直线电机的研究思路，将原单定子拓扑改为交替极结构。预期目标是在减少或保持永磁体用量的条件下，提高平均推力并降低推力波动。</w:t>
      </w:r>
    </w:p>
    <w:p>
      <w:pPr/>
      <w:r>
        <w:rPr>
          <w:rFonts w:ascii="Times New Roman" w:hAnsi="Times New Roman" w:eastAsia="宋体"/>
          <w:sz w:val="21"/>
        </w:rPr>
        <w:t>初始仿真结果未达到这一预期，因此本次诊断依次检查数值收敛、受力对象、绕组电流方向、永磁体极性、铁芯饱和、气隙法向磁密、轴向磁密以及局部 Maxwell 应力，区分原理问题与具体结构问题。</w:t>
      </w:r>
    </w:p>
    <w:p>
      <w:pPr>
        <w:pStyle w:val="Heading1"/>
        <w:keepNext/>
      </w:pPr>
      <w:r>
        <w:rPr>
          <w:rFonts w:ascii="Arial" w:hAnsi="Arial" w:eastAsia="微软雅黑"/>
          <w:b/>
          <w:color w:val="000000"/>
          <w:sz w:val="32"/>
        </w:rPr>
        <w:t>2 原理迁移的合理性</w:t>
      </w:r>
    </w:p>
    <w:p>
      <w:pPr>
        <w:pStyle w:val="Heading2"/>
        <w:keepNext/>
      </w:pPr>
      <w:r>
        <w:rPr>
          <w:rFonts w:ascii="Arial" w:hAnsi="Arial" w:eastAsia="微软雅黑"/>
          <w:b/>
          <w:color w:val="000000"/>
          <w:sz w:val="25"/>
        </w:rPr>
        <w:t>2.1 迁移后的工作原理</w:t>
      </w:r>
    </w:p>
    <w:p>
      <w:pPr/>
      <w:r>
        <w:rPr>
          <w:rFonts w:ascii="Times New Roman" w:hAnsi="Times New Roman" w:eastAsia="宋体"/>
          <w:sz w:val="21"/>
        </w:rPr>
        <w:t>交替极方案在定子和动子的浅槽内布置相同极性的永磁体，未放置永磁体的铁芯区域作为交替铁极。动子往复运动时，永磁体与铁极的相对位置改变，使穿过气隙并与集中绕组交链的主磁通发生正负变化；绕组电流与这一磁链变化配合后产生轴向电磁推力。</w:t>
      </w:r>
    </w:p>
    <w:p>
      <w:pPr/>
      <w:r>
        <w:rPr>
          <w:rFonts w:ascii="Times New Roman" w:hAnsi="Times New Roman" w:eastAsia="宋体"/>
          <w:sz w:val="21"/>
        </w:rPr>
        <w:t>这一迁移必须继续满足原动磁式横向磁通直线振荡电机的基本规律：主磁路应闭合、相邻有效磁极应共同产生同方向推力、两侧磁阻与有效极面积应接近，并且铁芯不能因磁通集中而大面积进入饱和。</w:t>
      </w:r>
    </w:p>
    <w:p>
      <w:pPr>
        <w:pStyle w:val="Heading2"/>
        <w:keepNext/>
      </w:pPr>
      <w:r>
        <w:rPr>
          <w:rFonts w:ascii="Arial" w:hAnsi="Arial" w:eastAsia="微软雅黑"/>
          <w:b/>
          <w:color w:val="000000"/>
          <w:sz w:val="25"/>
        </w:rPr>
        <w:t>2.2 气隙取样与坐标定义</w:t>
      </w:r>
    </w:p>
    <w:p>
      <w:pPr/>
      <w:r>
        <w:rPr>
          <w:rFonts w:ascii="Times New Roman" w:hAnsi="Times New Roman" w:eastAsia="宋体"/>
          <w:sz w:val="21"/>
        </w:rPr>
        <w:t>Polyline23位于气隙中部并沿动子运动方向Z延伸。在该取样位置，Y方向近似为气隙法向，因此使用带符号的B_Y判断磁通穿过气隙的方向，使用B_Z描述轴向磁场。磁密模值Mag_B始终为正，不能用于判断N/S极和磁通换向。</w:t>
      </w:r>
    </w:p>
    <w:p>
      <w:pPr>
        <w:keepNext/>
        <w:spacing w:before="100" w:after="40"/>
        <w:jc w:val="center"/>
      </w:pPr>
      <w:r>
        <w:drawing>
          <wp:inline xmlns:a="http://schemas.openxmlformats.org/drawingml/2006/main" xmlns:pic="http://schemas.openxmlformats.org/drawingml/2006/picture">
            <wp:extent cx="5715000" cy="3540902"/>
            <wp:docPr id="1" name="Picture 1"/>
            <wp:cNvGraphicFramePr>
              <a:graphicFrameLocks noChangeAspect="1"/>
            </wp:cNvGraphicFramePr>
            <a:graphic>
              <a:graphicData uri="http://schemas.openxmlformats.org/drawingml/2006/picture">
                <pic:pic>
                  <pic:nvPicPr>
                    <pic:cNvPr id="0" name="386f417b1963d92d126149d69ae3147d.png"/>
                    <pic:cNvPicPr/>
                  </pic:nvPicPr>
                  <pic:blipFill>
                    <a:blip r:embed="rId11"/>
                    <a:stretch>
                      <a:fillRect/>
                    </a:stretch>
                  </pic:blipFill>
                  <pic:spPr>
                    <a:xfrm>
                      <a:off x="0" y="0"/>
                      <a:ext cx="5715000" cy="3540902"/>
                    </a:xfrm>
                    <a:prstGeom prst="rect"/>
                  </pic:spPr>
                </pic:pic>
              </a:graphicData>
            </a:graphic>
          </wp:inline>
        </w:drawing>
      </w:r>
    </w:p>
    <w:p>
      <w:pPr>
        <w:keepNext w:val="0"/>
        <w:spacing w:after="160"/>
        <w:jc w:val="center"/>
      </w:pPr>
      <w:r>
        <w:rPr>
          <w:rFonts w:ascii="Times New Roman" w:hAnsi="Times New Roman" w:eastAsia="宋体"/>
          <w:b w:val="0"/>
          <w:sz w:val="18"/>
        </w:rPr>
        <w:t>图1  气隙取样线 Polyline23 的位置</w:t>
      </w:r>
    </w:p>
    <w:p>
      <w:r>
        <w:br w:type="page"/>
      </w:r>
    </w:p>
    <w:p>
      <w:pPr>
        <w:pStyle w:val="Heading1"/>
        <w:keepNext/>
      </w:pPr>
      <w:r>
        <w:rPr>
          <w:rFonts w:ascii="Arial" w:hAnsi="Arial" w:eastAsia="微软雅黑"/>
          <w:b/>
          <w:color w:val="000000"/>
          <w:sz w:val="32"/>
        </w:rPr>
        <w:t>3 三种拓扑的性能对比</w:t>
      </w:r>
    </w:p>
    <w:p>
      <w:pPr>
        <w:keepNext/>
        <w:spacing w:before="100" w:after="40"/>
        <w:jc w:val="center"/>
      </w:pPr>
      <w:r>
        <w:drawing>
          <wp:inline xmlns:a="http://schemas.openxmlformats.org/drawingml/2006/main" xmlns:pic="http://schemas.openxmlformats.org/drawingml/2006/picture">
            <wp:extent cx="5897880" cy="4055576"/>
            <wp:docPr id="2" name="Picture 2"/>
            <wp:cNvGraphicFramePr>
              <a:graphicFrameLocks noChangeAspect="1"/>
            </wp:cNvGraphicFramePr>
            <a:graphic>
              <a:graphicData uri="http://schemas.openxmlformats.org/drawingml/2006/picture">
                <pic:pic>
                  <pic:nvPicPr>
                    <pic:cNvPr id="0" name="fig01_topology_comparison.png"/>
                    <pic:cNvPicPr/>
                  </pic:nvPicPr>
                  <pic:blipFill>
                    <a:blip r:embed="rId12"/>
                    <a:stretch>
                      <a:fillRect/>
                    </a:stretch>
                  </pic:blipFill>
                  <pic:spPr>
                    <a:xfrm>
                      <a:off x="0" y="0"/>
                      <a:ext cx="5897880" cy="4055576"/>
                    </a:xfrm>
                    <a:prstGeom prst="rect"/>
                  </pic:spPr>
                </pic:pic>
              </a:graphicData>
            </a:graphic>
          </wp:inline>
        </w:drawing>
      </w:r>
    </w:p>
    <w:p>
      <w:pPr>
        <w:keepNext w:val="0"/>
        <w:spacing w:after="160"/>
        <w:jc w:val="center"/>
      </w:pPr>
      <w:r>
        <w:rPr>
          <w:rFonts w:ascii="Times New Roman" w:hAnsi="Times New Roman" w:eastAsia="宋体"/>
          <w:b w:val="0"/>
          <w:sz w:val="18"/>
        </w:rPr>
        <w:t>图2  三种电机拓扑的平均推力 推力波动与永磁体利用率</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540"/>
        <w:gridCol w:w="1540"/>
        <w:gridCol w:w="1540"/>
        <w:gridCol w:w="1540"/>
        <w:gridCol w:w="1540"/>
        <w:gridCol w:w="1540"/>
      </w:tblGrid>
      <w:tr>
        <w:trPr>
          <w:tblHeader w:val="true"/>
        </w:trPr>
        <w:tc>
          <w:tcPr>
            <w:tcW w:type="dxa" w:w="170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电机类型</w:t>
            </w:r>
          </w:p>
        </w:tc>
        <w:tc>
          <w:tcPr>
            <w:tcW w:type="dxa" w:w="1219"/>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平均推力 N</w:t>
            </w:r>
          </w:p>
        </w:tc>
        <w:tc>
          <w:tcPr>
            <w:tcW w:type="dxa" w:w="1134"/>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峰峰值 N</w:t>
            </w:r>
          </w:p>
        </w:tc>
        <w:tc>
          <w:tcPr>
            <w:tcW w:type="dxa" w:w="1020"/>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波动率</w:t>
            </w:r>
          </w:p>
        </w:tc>
        <w:tc>
          <w:tcPr>
            <w:tcW w:type="dxa" w:w="1474"/>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永磁体体积 cm³</w:t>
            </w:r>
          </w:p>
        </w:tc>
        <w:tc>
          <w:tcPr>
            <w:tcW w:type="dxa" w:w="1587"/>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单位推力 N/cm³</w:t>
            </w:r>
          </w:p>
        </w:tc>
      </w:tr>
      <w:tr>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单定子交替极</w:t>
            </w:r>
          </w:p>
        </w:tc>
        <w:tc>
          <w:tcPr>
            <w:tcW w:type="dxa" w:w="1219"/>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78.667</w:t>
            </w:r>
          </w:p>
        </w:tc>
        <w:tc>
          <w:tcPr>
            <w:tcW w:type="dxa" w:w="1134"/>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9.067</w:t>
            </w:r>
          </w:p>
        </w:tc>
        <w:tc>
          <w:tcPr>
            <w:tcW w:type="dxa" w:w="1020"/>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11.50%</w:t>
            </w:r>
          </w:p>
        </w:tc>
        <w:tc>
          <w:tcPr>
            <w:tcW w:type="dxa" w:w="1474"/>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33.096</w:t>
            </w:r>
          </w:p>
        </w:tc>
        <w:tc>
          <w:tcPr>
            <w:tcW w:type="dxa" w:w="1587"/>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2.377</w:t>
            </w:r>
          </w:p>
        </w:tc>
      </w:tr>
      <w:tr>
        <w:tc>
          <w:tcPr>
            <w:tcW w:type="dxa" w:w="170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双定子</w:t>
            </w:r>
          </w:p>
        </w:tc>
        <w:tc>
          <w:tcPr>
            <w:tcW w:type="dxa" w:w="1219"/>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79.713</w:t>
            </w:r>
          </w:p>
        </w:tc>
        <w:tc>
          <w:tcPr>
            <w:tcW w:type="dxa" w:w="1134"/>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4.760</w:t>
            </w:r>
          </w:p>
        </w:tc>
        <w:tc>
          <w:tcPr>
            <w:tcW w:type="dxa" w:w="1020"/>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5.97%</w:t>
            </w:r>
          </w:p>
        </w:tc>
        <w:tc>
          <w:tcPr>
            <w:tcW w:type="dxa" w:w="1474"/>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28.716</w:t>
            </w:r>
          </w:p>
        </w:tc>
        <w:tc>
          <w:tcPr>
            <w:tcW w:type="dxa" w:w="1587"/>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2.776</w:t>
            </w:r>
          </w:p>
        </w:tc>
      </w:tr>
      <w:tr>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双动子</w:t>
            </w:r>
          </w:p>
        </w:tc>
        <w:tc>
          <w:tcPr>
            <w:tcW w:type="dxa" w:w="1219"/>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80.119</w:t>
            </w:r>
          </w:p>
        </w:tc>
        <w:tc>
          <w:tcPr>
            <w:tcW w:type="dxa" w:w="1134"/>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5.633</w:t>
            </w:r>
          </w:p>
        </w:tc>
        <w:tc>
          <w:tcPr>
            <w:tcW w:type="dxa" w:w="1020"/>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7.03%</w:t>
            </w:r>
          </w:p>
        </w:tc>
        <w:tc>
          <w:tcPr>
            <w:tcW w:type="dxa" w:w="1474"/>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42.747</w:t>
            </w:r>
          </w:p>
        </w:tc>
        <w:tc>
          <w:tcPr>
            <w:tcW w:type="dxa" w:w="1587"/>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1.874</w:t>
            </w:r>
          </w:p>
        </w:tc>
      </w:tr>
    </w:tbl>
    <w:p>
      <w:pPr>
        <w:spacing w:after="20"/>
      </w:pPr>
    </w:p>
    <w:p>
      <w:pPr/>
      <w:r>
        <w:rPr>
          <w:rFonts w:ascii="Times New Roman" w:hAnsi="Times New Roman" w:eastAsia="宋体"/>
          <w:sz w:val="21"/>
        </w:rPr>
        <w:t>与双定子结构相比，单定子交替极结构的平均推力低1.31%，永磁体体积反而高15.25%，单位永磁体推力低14.37%，波动率由5.97%上升到11.50%。因此相对于双定子结构，当前方案尚未实现论文中所期望的永磁体利用率提升。</w:t>
      </w:r>
    </w:p>
    <w:p>
      <w:pPr/>
      <w:r>
        <w:rPr>
          <w:rFonts w:ascii="Times New Roman" w:hAnsi="Times New Roman" w:eastAsia="宋体"/>
          <w:sz w:val="21"/>
        </w:rPr>
        <w:t>与双动子结构相比，单定子交替极结构的平均推力低1.81%，但永磁体体积减少22.58%，单位永磁体推力提高26.84%。这说明交替极方案已经表现出一定的永磁体节省价值，只是磁路和推力波动尚未优化到位。</w:t>
      </w:r>
    </w:p>
    <w:p>
      <w:pPr>
        <w:pStyle w:val="Heading1"/>
        <w:keepNext/>
      </w:pPr>
      <w:r>
        <w:rPr>
          <w:rFonts w:ascii="Arial" w:hAnsi="Arial" w:eastAsia="微软雅黑"/>
          <w:b/>
          <w:color w:val="000000"/>
          <w:sz w:val="32"/>
        </w:rPr>
        <w:t>4 仿真设置排查</w:t>
      </w:r>
    </w:p>
    <w:p>
      <w:pPr>
        <w:pStyle w:val="Heading2"/>
        <w:keepNext/>
      </w:pPr>
      <w:r>
        <w:rPr>
          <w:rFonts w:ascii="Arial" w:hAnsi="Arial" w:eastAsia="微软雅黑"/>
          <w:b/>
          <w:color w:val="000000"/>
          <w:sz w:val="25"/>
        </w:rPr>
        <w:t>4.1 推力与电流的对称性</w:t>
      </w:r>
    </w:p>
    <w:p>
      <w:pPr>
        <w:keepNext/>
        <w:spacing w:before="100" w:after="40"/>
        <w:jc w:val="center"/>
      </w:pPr>
      <w:r>
        <w:drawing>
          <wp:inline xmlns:a="http://schemas.openxmlformats.org/drawingml/2006/main" xmlns:pic="http://schemas.openxmlformats.org/drawingml/2006/picture">
            <wp:extent cx="5897880" cy="3081842"/>
            <wp:docPr id="3" name="Picture 3"/>
            <wp:cNvGraphicFramePr>
              <a:graphicFrameLocks noChangeAspect="1"/>
            </wp:cNvGraphicFramePr>
            <a:graphic>
              <a:graphicData uri="http://schemas.openxmlformats.org/drawingml/2006/picture">
                <pic:pic>
                  <pic:nvPicPr>
                    <pic:cNvPr id="0" name="fig02_force_current.png"/>
                    <pic:cNvPicPr/>
                  </pic:nvPicPr>
                  <pic:blipFill>
                    <a:blip r:embed="rId13"/>
                    <a:stretch>
                      <a:fillRect/>
                    </a:stretch>
                  </pic:blipFill>
                  <pic:spPr>
                    <a:xfrm>
                      <a:off x="0" y="0"/>
                      <a:ext cx="5897880" cy="3081842"/>
                    </a:xfrm>
                    <a:prstGeom prst="rect"/>
                  </pic:spPr>
                </pic:pic>
              </a:graphicData>
            </a:graphic>
          </wp:inline>
        </w:drawing>
      </w:r>
    </w:p>
    <w:p>
      <w:pPr>
        <w:keepNext w:val="0"/>
        <w:spacing w:after="160"/>
        <w:jc w:val="center"/>
      </w:pPr>
      <w:r>
        <w:rPr>
          <w:rFonts w:ascii="Times New Roman" w:hAnsi="Times New Roman" w:eastAsia="宋体"/>
          <w:b w:val="0"/>
          <w:sz w:val="18"/>
        </w:rPr>
        <w:t>图3  六分之一模型在不同电流下的推力位置特性</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48"/>
        <w:gridCol w:w="1848"/>
        <w:gridCol w:w="1848"/>
        <w:gridCol w:w="1848"/>
        <w:gridCol w:w="1848"/>
      </w:tblGrid>
      <w:tr>
        <w:trPr>
          <w:tblHeader w:val="true"/>
        </w:trPr>
        <w:tc>
          <w:tcPr>
            <w:tcW w:type="dxa" w:w="1134"/>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电流 A</w:t>
            </w:r>
          </w:p>
        </w:tc>
        <w:tc>
          <w:tcPr>
            <w:tcW w:type="dxa" w:w="170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平均推力 N</w:t>
            </w:r>
          </w:p>
        </w:tc>
        <w:tc>
          <w:tcPr>
            <w:tcW w:type="dxa" w:w="170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最小值 N</w:t>
            </w:r>
          </w:p>
        </w:tc>
        <w:tc>
          <w:tcPr>
            <w:tcW w:type="dxa" w:w="170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最大值 N</w:t>
            </w:r>
          </w:p>
        </w:tc>
        <w:tc>
          <w:tcPr>
            <w:tcW w:type="dxa" w:w="170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峰峰值 N</w:t>
            </w:r>
          </w:p>
        </w:tc>
      </w:tr>
      <w:tr>
        <w:tc>
          <w:tcPr>
            <w:tcW w:type="dxa" w:w="1134"/>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-1</w:t>
            </w:r>
          </w:p>
        </w:tc>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-12.678</w:t>
            </w:r>
          </w:p>
        </w:tc>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-13.610</w:t>
            </w:r>
          </w:p>
        </w:tc>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-11.972</w:t>
            </w:r>
          </w:p>
        </w:tc>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1.638</w:t>
            </w:r>
          </w:p>
        </w:tc>
      </w:tr>
      <w:tr>
        <w:tc>
          <w:tcPr>
            <w:tcW w:type="dxa" w:w="1134"/>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-0.5</w:t>
            </w:r>
          </w:p>
        </w:tc>
        <w:tc>
          <w:tcPr>
            <w:tcW w:type="dxa" w:w="170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-6.442</w:t>
            </w:r>
          </w:p>
        </w:tc>
        <w:tc>
          <w:tcPr>
            <w:tcW w:type="dxa" w:w="170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-7.060</w:t>
            </w:r>
          </w:p>
        </w:tc>
        <w:tc>
          <w:tcPr>
            <w:tcW w:type="dxa" w:w="170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-6.023</w:t>
            </w:r>
          </w:p>
        </w:tc>
        <w:tc>
          <w:tcPr>
            <w:tcW w:type="dxa" w:w="170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1.037</w:t>
            </w:r>
          </w:p>
        </w:tc>
      </w:tr>
      <w:tr>
        <w:tc>
          <w:tcPr>
            <w:tcW w:type="dxa" w:w="1134"/>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0</w:t>
            </w:r>
          </w:p>
        </w:tc>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0.018</w:t>
            </w:r>
          </w:p>
        </w:tc>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-0.409</w:t>
            </w:r>
          </w:p>
        </w:tc>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0.509</w:t>
            </w:r>
          </w:p>
        </w:tc>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0.918</w:t>
            </w:r>
          </w:p>
        </w:tc>
      </w:tr>
      <w:tr>
        <w:tc>
          <w:tcPr>
            <w:tcW w:type="dxa" w:w="1134"/>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0.5</w:t>
            </w:r>
          </w:p>
        </w:tc>
        <w:tc>
          <w:tcPr>
            <w:tcW w:type="dxa" w:w="170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6.456</w:t>
            </w:r>
          </w:p>
        </w:tc>
        <w:tc>
          <w:tcPr>
            <w:tcW w:type="dxa" w:w="170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6.056</w:t>
            </w:r>
          </w:p>
        </w:tc>
        <w:tc>
          <w:tcPr>
            <w:tcW w:type="dxa" w:w="170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7.093</w:t>
            </w:r>
          </w:p>
        </w:tc>
        <w:tc>
          <w:tcPr>
            <w:tcW w:type="dxa" w:w="170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1.037</w:t>
            </w:r>
          </w:p>
        </w:tc>
      </w:tr>
      <w:tr>
        <w:tc>
          <w:tcPr>
            <w:tcW w:type="dxa" w:w="1134"/>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1</w:t>
            </w:r>
          </w:p>
        </w:tc>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12.702</w:t>
            </w:r>
          </w:p>
        </w:tc>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11.993</w:t>
            </w:r>
          </w:p>
        </w:tc>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13.623</w:t>
            </w:r>
          </w:p>
        </w:tc>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1.630</w:t>
            </w:r>
          </w:p>
        </w:tc>
      </w:tr>
    </w:tbl>
    <w:p>
      <w:pPr>
        <w:spacing w:after="20"/>
      </w:pPr>
    </w:p>
    <w:p>
      <w:pPr/>
      <w:r>
        <w:rPr>
          <w:rFonts w:ascii="Times New Roman" w:hAnsi="Times New Roman" w:eastAsia="宋体"/>
          <w:sz w:val="21"/>
        </w:rPr>
        <w:t>±1 A时平均推力分别为−12.678 N和+12.702 N，0 A时平均值仅0.018 N。推力与电流方向和幅值基本对应，说明绕组激励和推力方向没有明显错误。该曲线来自六分之一模型，不能与表中整机约78.7 N直接混为同一口径。</w:t>
      </w:r>
    </w:p>
    <w:p>
      <w:pPr>
        <w:pStyle w:val="Heading2"/>
        <w:keepNext/>
      </w:pPr>
      <w:r>
        <w:rPr>
          <w:rFonts w:ascii="Arial" w:hAnsi="Arial" w:eastAsia="微软雅黑"/>
          <w:b/>
          <w:color w:val="000000"/>
          <w:sz w:val="25"/>
        </w:rPr>
        <w:t>4.2 网格收敛性</w:t>
      </w:r>
    </w:p>
    <w:p>
      <w:pPr>
        <w:keepNext/>
        <w:spacing w:before="100" w:after="40"/>
        <w:jc w:val="center"/>
      </w:pPr>
      <w:r>
        <w:drawing>
          <wp:inline xmlns:a="http://schemas.openxmlformats.org/drawingml/2006/main" xmlns:pic="http://schemas.openxmlformats.org/drawingml/2006/picture">
            <wp:extent cx="5897880" cy="2507602"/>
            <wp:docPr id="4" name="Picture 4"/>
            <wp:cNvGraphicFramePr>
              <a:graphicFrameLocks noChangeAspect="1"/>
            </wp:cNvGraphicFramePr>
            <a:graphic>
              <a:graphicData uri="http://schemas.openxmlformats.org/drawingml/2006/picture">
                <pic:pic>
                  <pic:nvPicPr>
                    <pic:cNvPr id="0" name="fig03_mesh_convergence.png"/>
                    <pic:cNvPicPr/>
                  </pic:nvPicPr>
                  <pic:blipFill>
                    <a:blip r:embed="rId14"/>
                    <a:stretch>
                      <a:fillRect/>
                    </a:stretch>
                  </pic:blipFill>
                  <pic:spPr>
                    <a:xfrm>
                      <a:off x="0" y="0"/>
                      <a:ext cx="5897880" cy="2507602"/>
                    </a:xfrm>
                    <a:prstGeom prst="rect"/>
                  </pic:spPr>
                </pic:pic>
              </a:graphicData>
            </a:graphic>
          </wp:inline>
        </w:drawing>
      </w:r>
    </w:p>
    <w:p>
      <w:pPr>
        <w:keepNext w:val="0"/>
        <w:spacing w:after="160"/>
        <w:jc w:val="center"/>
      </w:pPr>
      <w:r>
        <w:rPr>
          <w:rFonts w:ascii="Times New Roman" w:hAnsi="Times New Roman" w:eastAsia="宋体"/>
          <w:b w:val="0"/>
          <w:sz w:val="18"/>
        </w:rPr>
        <w:t>图4  两个气隙及极尖等部位局部网格减半前后的推力对比</w:t>
      </w:r>
    </w:p>
    <w:p>
      <w:pPr/>
      <w:r>
        <w:rPr>
          <w:rFonts w:ascii="Times New Roman" w:hAnsi="Times New Roman" w:eastAsia="宋体"/>
          <w:sz w:val="21"/>
        </w:rPr>
        <w:t>局部网格尺寸减半并将自适应误差收紧后，±1 A工况的平均绝对差约0.09 N，相对于约12.7 N的推力仅0.7%～0.8%；最大差约0.215 N。网格变化不足以解释当前拓扑与目标性能之间的差距。</w:t>
      </w:r>
    </w:p>
    <w:p>
      <w:pPr>
        <w:pStyle w:val="Heading2"/>
        <w:keepNext/>
      </w:pPr>
      <w:r>
        <w:rPr>
          <w:rFonts w:ascii="Arial" w:hAnsi="Arial" w:eastAsia="微软雅黑"/>
          <w:b/>
          <w:color w:val="000000"/>
          <w:sz w:val="25"/>
        </w:rPr>
        <w:t>4.3 永磁体极性与受力对象</w:t>
      </w:r>
    </w:p>
    <w:p>
      <w:pPr>
        <w:keepNext/>
        <w:spacing w:before="100" w:after="40"/>
        <w:jc w:val="center"/>
      </w:pPr>
      <w:r>
        <w:drawing>
          <wp:inline xmlns:a="http://schemas.openxmlformats.org/drawingml/2006/main" xmlns:pic="http://schemas.openxmlformats.org/drawingml/2006/picture">
            <wp:extent cx="5897880" cy="2615429"/>
            <wp:docPr id="5" name="Picture 5"/>
            <wp:cNvGraphicFramePr>
              <a:graphicFrameLocks noChangeAspect="1"/>
            </wp:cNvGraphicFramePr>
            <a:graphic>
              <a:graphicData uri="http://schemas.openxmlformats.org/drawingml/2006/picture">
                <pic:pic>
                  <pic:nvPicPr>
                    <pic:cNvPr id="0" name="fig04_polarity_check.png"/>
                    <pic:cNvPicPr/>
                  </pic:nvPicPr>
                  <pic:blipFill>
                    <a:blip r:embed="rId15"/>
                    <a:stretch>
                      <a:fillRect/>
                    </a:stretch>
                  </pic:blipFill>
                  <pic:spPr>
                    <a:xfrm>
                      <a:off x="0" y="0"/>
                      <a:ext cx="5897880" cy="2615429"/>
                    </a:xfrm>
                    <a:prstGeom prst="rect"/>
                  </pic:spPr>
                </pic:pic>
              </a:graphicData>
            </a:graphic>
          </wp:inline>
        </w:drawing>
      </w:r>
    </w:p>
    <w:p>
      <w:pPr>
        <w:keepNext w:val="0"/>
        <w:spacing w:after="160"/>
        <w:jc w:val="center"/>
      </w:pPr>
      <w:r>
        <w:rPr>
          <w:rFonts w:ascii="Times New Roman" w:hAnsi="Times New Roman" w:eastAsia="宋体"/>
          <w:b w:val="0"/>
          <w:sz w:val="18"/>
        </w:rPr>
        <w:t>图5  原极性与反转定子永磁体极性的推力对比</w:t>
      </w:r>
    </w:p>
    <w:p>
      <w:pPr/>
      <w:r>
        <w:rPr>
          <w:rFonts w:ascii="Times New Roman" w:hAnsi="Times New Roman" w:eastAsia="宋体"/>
          <w:sz w:val="21"/>
        </w:rPr>
        <w:t>原极性下，零电流平均推力接近0，正负电流结果近似反对称。反转定子永磁体后，0 A平均推力变为6.93 N，−1 A平均推力为+13.88 N，而+1 A平均推力仅+0.33 N，产生明显偏置。因此原模型中定子与动子永磁体保持同极性配置是正确的。</w:t>
      </w:r>
    </w:p>
    <w:p>
      <w:pPr/>
      <w:r>
        <w:rPr>
          <w:rFonts w:ascii="Times New Roman" w:hAnsi="Times New Roman" w:eastAsia="宋体"/>
          <w:sz w:val="21"/>
        </w:rPr>
        <w:t>受力对象必须包含完整运动组件。仅选永磁体对象时，计算结果在−837.8～+699.7 N之间大幅变化，这是运动组件内部磁力未相互抵消造成的局部物体力，不能作为输出推力。后续评价均采用完整动子组 Force_move。</w:t>
      </w:r>
    </w:p>
    <w:p>
      <w:r>
        <w:br w:type="page"/>
      </w:r>
    </w:p>
    <w:p>
      <w:pPr>
        <w:pStyle w:val="Heading1"/>
        <w:keepNext/>
      </w:pPr>
      <w:r>
        <w:rPr>
          <w:rFonts w:ascii="Arial" w:hAnsi="Arial" w:eastAsia="微软雅黑"/>
          <w:b/>
          <w:color w:val="000000"/>
          <w:sz w:val="32"/>
        </w:rPr>
        <w:t>5 气隙磁场与铁芯饱和</w:t>
      </w:r>
    </w:p>
    <w:p>
      <w:pPr>
        <w:pStyle w:val="Heading2"/>
        <w:keepNext/>
      </w:pPr>
      <w:r>
        <w:rPr>
          <w:rFonts w:ascii="Arial" w:hAnsi="Arial" w:eastAsia="微软雅黑"/>
          <w:b/>
          <w:color w:val="000000"/>
          <w:sz w:val="25"/>
        </w:rPr>
        <w:t>5.1 零电流气隙法向磁密</w:t>
      </w:r>
    </w:p>
    <w:p>
      <w:pPr>
        <w:keepNext/>
        <w:spacing w:before="100" w:after="40"/>
        <w:jc w:val="center"/>
      </w:pPr>
      <w:r>
        <w:drawing>
          <wp:inline xmlns:a="http://schemas.openxmlformats.org/drawingml/2006/main" xmlns:pic="http://schemas.openxmlformats.org/drawingml/2006/picture">
            <wp:extent cx="5897880" cy="2972752"/>
            <wp:docPr id="6" name="Picture 6"/>
            <wp:cNvGraphicFramePr>
              <a:graphicFrameLocks noChangeAspect="1"/>
            </wp:cNvGraphicFramePr>
            <a:graphic>
              <a:graphicData uri="http://schemas.openxmlformats.org/drawingml/2006/picture">
                <pic:pic>
                  <pic:nvPicPr>
                    <pic:cNvPr id="0" name="fig05_by_positions.png"/>
                    <pic:cNvPicPr/>
                  </pic:nvPicPr>
                  <pic:blipFill>
                    <a:blip r:embed="rId16"/>
                    <a:stretch>
                      <a:fillRect/>
                    </a:stretch>
                  </pic:blipFill>
                  <pic:spPr>
                    <a:xfrm>
                      <a:off x="0" y="0"/>
                      <a:ext cx="5897880" cy="2972752"/>
                    </a:xfrm>
                    <a:prstGeom prst="rect"/>
                  </pic:spPr>
                </pic:pic>
              </a:graphicData>
            </a:graphic>
          </wp:inline>
        </w:drawing>
      </w:r>
    </w:p>
    <w:p>
      <w:pPr>
        <w:keepNext w:val="0"/>
        <w:spacing w:after="160"/>
        <w:jc w:val="center"/>
      </w:pPr>
      <w:r>
        <w:rPr>
          <w:rFonts w:ascii="Times New Roman" w:hAnsi="Times New Roman" w:eastAsia="宋体"/>
          <w:b w:val="0"/>
          <w:sz w:val="18"/>
        </w:rPr>
        <w:t>图6  零电流下气隙法向磁密B_Y随动子位置的变化</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540"/>
        <w:gridCol w:w="1540"/>
        <w:gridCol w:w="1540"/>
        <w:gridCol w:w="1540"/>
        <w:gridCol w:w="1540"/>
        <w:gridCol w:w="1540"/>
      </w:tblGrid>
      <w:tr>
        <w:trPr>
          <w:tblHeader w:val="true"/>
        </w:trPr>
        <w:tc>
          <w:tcPr>
            <w:tcW w:type="dxa" w:w="1134"/>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动子位置 mm</w:t>
            </w:r>
          </w:p>
        </w:tc>
        <w:tc>
          <w:tcPr>
            <w:tcW w:type="dxa" w:w="119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B_Y RMS T</w:t>
            </w:r>
          </w:p>
        </w:tc>
        <w:tc>
          <w:tcPr>
            <w:tcW w:type="dxa" w:w="119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正负积分比</w:t>
            </w:r>
          </w:p>
        </w:tc>
        <w:tc>
          <w:tcPr>
            <w:tcW w:type="dxa" w:w="136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第一换向点 mm</w:t>
            </w:r>
          </w:p>
        </w:tc>
        <w:tc>
          <w:tcPr>
            <w:tcW w:type="dxa" w:w="136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第二换向点 mm</w:t>
            </w:r>
          </w:p>
        </w:tc>
        <w:tc>
          <w:tcPr>
            <w:tcW w:type="dxa" w:w="1814"/>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非线性误差占电流磁场</w:t>
            </w:r>
          </w:p>
        </w:tc>
      </w:tr>
      <w:tr>
        <w:tc>
          <w:tcPr>
            <w:tcW w:type="dxa" w:w="1134"/>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-10</w:t>
            </w:r>
          </w:p>
        </w:tc>
        <w:tc>
          <w:tcPr>
            <w:tcW w:type="dxa" w:w="1191"/>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0.608</w:t>
            </w:r>
          </w:p>
        </w:tc>
        <w:tc>
          <w:tcPr>
            <w:tcW w:type="dxa" w:w="1191"/>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0.80</w:t>
            </w:r>
          </w:p>
        </w:tc>
        <w:tc>
          <w:tcPr>
            <w:tcW w:type="dxa" w:w="1361"/>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42.06</w:t>
            </w:r>
          </w:p>
        </w:tc>
        <w:tc>
          <w:tcPr>
            <w:tcW w:type="dxa" w:w="1361"/>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71.28</w:t>
            </w:r>
          </w:p>
        </w:tc>
        <w:tc>
          <w:tcPr>
            <w:tcW w:type="dxa" w:w="1814"/>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14.7%</w:t>
            </w:r>
          </w:p>
        </w:tc>
      </w:tr>
      <w:tr>
        <w:tc>
          <w:tcPr>
            <w:tcW w:type="dxa" w:w="1134"/>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0</w:t>
            </w:r>
          </w:p>
        </w:tc>
        <w:tc>
          <w:tcPr>
            <w:tcW w:type="dxa" w:w="119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0.543</w:t>
            </w:r>
          </w:p>
        </w:tc>
        <w:tc>
          <w:tcPr>
            <w:tcW w:type="dxa" w:w="119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1.31</w:t>
            </w:r>
          </w:p>
        </w:tc>
        <w:tc>
          <w:tcPr>
            <w:tcW w:type="dxa" w:w="136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31.86</w:t>
            </w:r>
          </w:p>
        </w:tc>
        <w:tc>
          <w:tcPr>
            <w:tcW w:type="dxa" w:w="136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71.54</w:t>
            </w:r>
          </w:p>
        </w:tc>
        <w:tc>
          <w:tcPr>
            <w:tcW w:type="dxa" w:w="1814"/>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9.5%</w:t>
            </w:r>
          </w:p>
        </w:tc>
      </w:tr>
      <w:tr>
        <w:tc>
          <w:tcPr>
            <w:tcW w:type="dxa" w:w="1134"/>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10</w:t>
            </w:r>
          </w:p>
        </w:tc>
        <w:tc>
          <w:tcPr>
            <w:tcW w:type="dxa" w:w="1191"/>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0.434</w:t>
            </w:r>
          </w:p>
        </w:tc>
        <w:tc>
          <w:tcPr>
            <w:tcW w:type="dxa" w:w="1191"/>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3.27</w:t>
            </w:r>
          </w:p>
        </w:tc>
        <w:tc>
          <w:tcPr>
            <w:tcW w:type="dxa" w:w="1361"/>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22.00</w:t>
            </w:r>
          </w:p>
        </w:tc>
        <w:tc>
          <w:tcPr>
            <w:tcW w:type="dxa" w:w="1361"/>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71.63</w:t>
            </w:r>
          </w:p>
        </w:tc>
        <w:tc>
          <w:tcPr>
            <w:tcW w:type="dxa" w:w="1814"/>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11.3%</w:t>
            </w:r>
          </w:p>
        </w:tc>
      </w:tr>
    </w:tbl>
    <w:p>
      <w:pPr>
        <w:spacing w:after="20"/>
      </w:pPr>
    </w:p>
    <w:p>
      <w:pPr/>
      <w:r>
        <w:rPr>
          <w:rFonts w:ascii="Times New Roman" w:hAnsi="Times New Roman" w:eastAsia="宋体"/>
          <w:sz w:val="21"/>
        </w:rPr>
        <w:t>动子从−10 mm移动到+10 mm时，第一换向点由42.06 mm移动到22.00 mm，基本随动子移动；第二换向点始终停留在约71.5 mm。正负磁密积分比则由0.80增至3.27，说明两个磁极的有效极宽和磁通分配随行程显著改变，磁场图样没有作为一组均衡的交替磁极整体工作。</w:t>
      </w:r>
    </w:p>
    <w:p>
      <w:pPr>
        <w:pStyle w:val="Heading2"/>
        <w:keepNext/>
      </w:pPr>
      <w:r>
        <w:rPr>
          <w:rFonts w:ascii="Arial" w:hAnsi="Arial" w:eastAsia="微软雅黑"/>
          <w:b/>
          <w:color w:val="000000"/>
          <w:sz w:val="25"/>
        </w:rPr>
        <w:t>5.2 电流作用与铁芯非线性</w:t>
      </w:r>
    </w:p>
    <w:p>
      <w:pPr>
        <w:keepNext/>
        <w:spacing w:before="100" w:after="40"/>
        <w:jc w:val="center"/>
      </w:pPr>
      <w:r>
        <w:drawing>
          <wp:inline xmlns:a="http://schemas.openxmlformats.org/drawingml/2006/main" xmlns:pic="http://schemas.openxmlformats.org/drawingml/2006/picture">
            <wp:extent cx="5897880" cy="3911859"/>
            <wp:docPr id="7" name="Picture 7"/>
            <wp:cNvGraphicFramePr>
              <a:graphicFrameLocks noChangeAspect="1"/>
            </wp:cNvGraphicFramePr>
            <a:graphic>
              <a:graphicData uri="http://schemas.openxmlformats.org/drawingml/2006/picture">
                <pic:pic>
                  <pic:nvPicPr>
                    <pic:cNvPr id="0" name="fig06_by_bz_center.png"/>
                    <pic:cNvPicPr/>
                  </pic:nvPicPr>
                  <pic:blipFill>
                    <a:blip r:embed="rId17"/>
                    <a:stretch>
                      <a:fillRect/>
                    </a:stretch>
                  </pic:blipFill>
                  <pic:spPr>
                    <a:xfrm>
                      <a:off x="0" y="0"/>
                      <a:ext cx="5897880" cy="3911859"/>
                    </a:xfrm>
                    <a:prstGeom prst="rect"/>
                  </pic:spPr>
                </pic:pic>
              </a:graphicData>
            </a:graphic>
          </wp:inline>
        </w:drawing>
      </w:r>
    </w:p>
    <w:p>
      <w:pPr>
        <w:keepNext w:val="0"/>
        <w:spacing w:after="160"/>
        <w:jc w:val="center"/>
      </w:pPr>
      <w:r>
        <w:rPr>
          <w:rFonts w:ascii="Times New Roman" w:hAnsi="Times New Roman" w:eastAsia="宋体"/>
          <w:b w:val="0"/>
          <w:sz w:val="18"/>
        </w:rPr>
        <w:t>图7  中心位置在−1 A 0 A和+1 A下的B_Y与B_Z</w:t>
      </w:r>
    </w:p>
    <w:p>
      <w:pPr/>
      <w:r>
        <w:rPr>
          <w:rFonts w:ascii="Times New Roman" w:hAnsi="Times New Roman" w:eastAsia="宋体"/>
          <w:sz w:val="21"/>
        </w:rPr>
        <w:t>在三个位置，利用B_Y(+1)与B_Y(−1)的半差得到的电流磁场RMS约为0.099～0.112 T。零电流曲线与正负电流平均曲线之间仍存在约9.5%～14.7%的相对误差，说明局部材料非线性已经影响负责产生推力的增量磁场。</w:t>
      </w:r>
    </w:p>
    <w:p>
      <w:pPr>
        <w:keepNext/>
        <w:spacing w:before="100" w:after="40"/>
        <w:jc w:val="center"/>
      </w:pPr>
      <w:r>
        <w:drawing>
          <wp:inline xmlns:a="http://schemas.openxmlformats.org/drawingml/2006/main" xmlns:pic="http://schemas.openxmlformats.org/drawingml/2006/picture">
            <wp:extent cx="5897880" cy="2289494"/>
            <wp:docPr id="8" name="Picture 8"/>
            <wp:cNvGraphicFramePr>
              <a:graphicFrameLocks noChangeAspect="1"/>
            </wp:cNvGraphicFramePr>
            <a:graphic>
              <a:graphicData uri="http://schemas.openxmlformats.org/drawingml/2006/picture">
                <pic:pic>
                  <pic:nvPicPr>
                    <pic:cNvPr id="0" name="fig08_iron_flux_density.png"/>
                    <pic:cNvPicPr/>
                  </pic:nvPicPr>
                  <pic:blipFill>
                    <a:blip r:embed="rId18"/>
                    <a:stretch>
                      <a:fillRect/>
                    </a:stretch>
                  </pic:blipFill>
                  <pic:spPr>
                    <a:xfrm>
                      <a:off x="0" y="0"/>
                      <a:ext cx="5897880" cy="2289494"/>
                    </a:xfrm>
                    <a:prstGeom prst="rect"/>
                  </pic:spPr>
                </pic:pic>
              </a:graphicData>
            </a:graphic>
          </wp:inline>
        </w:drawing>
      </w:r>
    </w:p>
    <w:p>
      <w:pPr>
        <w:keepNext w:val="0"/>
        <w:spacing w:after="160"/>
        <w:jc w:val="center"/>
      </w:pPr>
      <w:r>
        <w:rPr>
          <w:rFonts w:ascii="Times New Roman" w:hAnsi="Times New Roman" w:eastAsia="宋体"/>
          <w:b w:val="0"/>
          <w:sz w:val="18"/>
        </w:rPr>
        <w:t>图8  铁芯磁密云图中的极尖和根部局部高磁密区域</w:t>
      </w:r>
    </w:p>
    <w:p>
      <w:pPr/>
      <w:r>
        <w:rPr>
          <w:rFonts w:ascii="Times New Roman" w:hAnsi="Times New Roman" w:eastAsia="宋体"/>
          <w:sz w:val="21"/>
        </w:rPr>
        <w:t>云图中较大区域处于约1.7～2.2 T，极尖附近出现更高峰值。孤立尖角上的3 T以上峰值可能包含几何奇异性，但连续高磁密区域与B_Y叠加误差相互印证，说明极尖和根部截面积不足，磁通集中后进入饱和。</w:t>
      </w:r>
    </w:p>
    <w:p>
      <w:r>
        <w:br w:type="page"/>
      </w:r>
    </w:p>
    <w:p>
      <w:pPr>
        <w:pStyle w:val="Heading1"/>
        <w:keepNext/>
      </w:pPr>
      <w:r>
        <w:rPr>
          <w:rFonts w:ascii="Arial" w:hAnsi="Arial" w:eastAsia="微软雅黑"/>
          <w:b/>
          <w:color w:val="000000"/>
          <w:sz w:val="32"/>
        </w:rPr>
        <w:t>6 Maxwell 应力分解与推力不足机理</w:t>
      </w:r>
    </w:p>
    <w:p>
      <w:pPr/>
      <w:r>
        <w:rPr>
          <w:rFonts w:ascii="Times New Roman" w:hAnsi="Times New Roman" w:eastAsia="宋体"/>
          <w:sz w:val="21"/>
        </w:rPr>
        <w:t>在Polyline23所在位置，气隙法向近似为Y方向，动子运动方向为Z方向，因此局部轴向 Maxwell 应力可写为：</w:t>
      </w:r>
    </w:p>
    <w:p>
      <w:pPr>
        <w:spacing w:before="60" w:after="140"/>
        <w:jc w:val="center"/>
      </w:pPr>
      <w:r>
        <w:rPr>
          <w:rFonts w:ascii="Cambria Math" w:hAnsi="Cambria Math" w:eastAsia="Cambria Math"/>
          <w:sz w:val="23"/>
        </w:rPr>
        <w:t>t_Z = B_Y B_Z / μ₀</w:t>
      </w:r>
    </w:p>
    <w:p>
      <w:pPr/>
      <w:r>
        <w:rPr>
          <w:rFonts w:ascii="Times New Roman" w:hAnsi="Times New Roman" w:eastAsia="宋体"/>
          <w:sz w:val="21"/>
        </w:rPr>
        <w:t>沿气隙线积分后的单位为N/m，表示单位周向宽度上的轴向作用。该结果用于比较局部贡献；整机最终推力仍以Maxwell对完整动子组的三维力报告为准。</w:t>
      </w:r>
    </w:p>
    <w:p>
      <w:pPr>
        <w:keepNext/>
        <w:spacing w:before="100" w:after="40"/>
        <w:jc w:val="center"/>
      </w:pPr>
      <w:r>
        <w:drawing>
          <wp:inline xmlns:a="http://schemas.openxmlformats.org/drawingml/2006/main" xmlns:pic="http://schemas.openxmlformats.org/drawingml/2006/picture">
            <wp:extent cx="5897880" cy="4077361"/>
            <wp:docPr id="9" name="Picture 9"/>
            <wp:cNvGraphicFramePr>
              <a:graphicFrameLocks noChangeAspect="1"/>
            </wp:cNvGraphicFramePr>
            <a:graphic>
              <a:graphicData uri="http://schemas.openxmlformats.org/drawingml/2006/picture">
                <pic:pic>
                  <pic:nvPicPr>
                    <pic:cNvPr id="0" name="fig07_maxwell_stress.png"/>
                    <pic:cNvPicPr/>
                  </pic:nvPicPr>
                  <pic:blipFill>
                    <a:blip r:embed="rId19"/>
                    <a:stretch>
                      <a:fillRect/>
                    </a:stretch>
                  </pic:blipFill>
                  <pic:spPr>
                    <a:xfrm>
                      <a:off x="0" y="0"/>
                      <a:ext cx="5897880" cy="4077361"/>
                    </a:xfrm>
                    <a:prstGeom prst="rect"/>
                  </pic:spPr>
                </pic:pic>
              </a:graphicData>
            </a:graphic>
          </wp:inline>
        </w:drawing>
      </w:r>
    </w:p>
    <w:p>
      <w:pPr>
        <w:keepNext w:val="0"/>
        <w:spacing w:after="160"/>
        <w:jc w:val="center"/>
      </w:pPr>
      <w:r>
        <w:rPr>
          <w:rFonts w:ascii="Times New Roman" w:hAnsi="Times New Roman" w:eastAsia="宋体"/>
          <w:b w:val="0"/>
          <w:sz w:val="18"/>
        </w:rPr>
        <w:t>图9  中心位置的轴向应力增量及三个磁场区域的线性推力贡献</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48"/>
        <w:gridCol w:w="1848"/>
        <w:gridCol w:w="1848"/>
        <w:gridCol w:w="1848"/>
        <w:gridCol w:w="1848"/>
      </w:tblGrid>
      <w:tr>
        <w:trPr>
          <w:tblHeader w:val="true"/>
        </w:trPr>
        <w:tc>
          <w:tcPr>
            <w:tcW w:type="dxa" w:w="136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动子位置 mm</w:t>
            </w:r>
          </w:p>
        </w:tc>
        <w:tc>
          <w:tcPr>
            <w:tcW w:type="dxa" w:w="170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−1 A增量 N/m</w:t>
            </w:r>
          </w:p>
        </w:tc>
        <w:tc>
          <w:tcPr>
            <w:tcW w:type="dxa" w:w="1587"/>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−1 A抵消比例</w:t>
            </w:r>
          </w:p>
        </w:tc>
        <w:tc>
          <w:tcPr>
            <w:tcW w:type="dxa" w:w="170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+1 A增量 N/m</w:t>
            </w:r>
          </w:p>
        </w:tc>
        <w:tc>
          <w:tcPr>
            <w:tcW w:type="dxa" w:w="1587"/>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+1 A抵消比例</w:t>
            </w:r>
          </w:p>
        </w:tc>
      </w:tr>
      <w:tr>
        <w:tc>
          <w:tcPr>
            <w:tcW w:type="dxa" w:w="136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-10</w:t>
            </w:r>
          </w:p>
        </w:tc>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-308.6</w:t>
            </w:r>
          </w:p>
        </w:tc>
        <w:tc>
          <w:tcPr>
            <w:tcW w:type="dxa" w:w="1587"/>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26.3%</w:t>
            </w:r>
          </w:p>
        </w:tc>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404.8</w:t>
            </w:r>
          </w:p>
        </w:tc>
        <w:tc>
          <w:tcPr>
            <w:tcW w:type="dxa" w:w="1587"/>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19.1%</w:t>
            </w:r>
          </w:p>
        </w:tc>
      </w:tr>
      <w:tr>
        <w:tc>
          <w:tcPr>
            <w:tcW w:type="dxa" w:w="136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0</w:t>
            </w:r>
          </w:p>
        </w:tc>
        <w:tc>
          <w:tcPr>
            <w:tcW w:type="dxa" w:w="170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-352.2</w:t>
            </w:r>
          </w:p>
        </w:tc>
        <w:tc>
          <w:tcPr>
            <w:tcW w:type="dxa" w:w="1587"/>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28.7%</w:t>
            </w:r>
          </w:p>
        </w:tc>
        <w:tc>
          <w:tcPr>
            <w:tcW w:type="dxa" w:w="170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353.1</w:t>
            </w:r>
          </w:p>
        </w:tc>
        <w:tc>
          <w:tcPr>
            <w:tcW w:type="dxa" w:w="1587"/>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15.0%</w:t>
            </w:r>
          </w:p>
        </w:tc>
      </w:tr>
      <w:tr>
        <w:tc>
          <w:tcPr>
            <w:tcW w:type="dxa" w:w="136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10</w:t>
            </w:r>
          </w:p>
        </w:tc>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-356.0</w:t>
            </w:r>
          </w:p>
        </w:tc>
        <w:tc>
          <w:tcPr>
            <w:tcW w:type="dxa" w:w="1587"/>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30.0%</w:t>
            </w:r>
          </w:p>
        </w:tc>
        <w:tc>
          <w:tcPr>
            <w:tcW w:type="dxa" w:w="170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427.1</w:t>
            </w:r>
          </w:p>
        </w:tc>
        <w:tc>
          <w:tcPr>
            <w:tcW w:type="dxa" w:w="1587"/>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10.6%</w:t>
            </w:r>
          </w:p>
        </w:tc>
      </w:tr>
    </w:tbl>
    <w:p>
      <w:pPr>
        <w:spacing w:after="20"/>
      </w:pPr>
    </w:p>
    <w:p>
      <w:r>
        <w:br w:type="page"/>
      </w:r>
    </w:p>
    <w:p>
      <w:pPr>
        <w:pStyle w:val="Heading2"/>
        <w:keepNext/>
      </w:pPr>
      <w:r>
        <w:rPr>
          <w:rFonts w:ascii="Arial" w:hAnsi="Arial" w:eastAsia="微软雅黑"/>
          <w:b/>
          <w:color w:val="000000"/>
          <w:sz w:val="25"/>
        </w:rPr>
        <w:t>6.1 中心位置的磁极贡献</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48"/>
        <w:gridCol w:w="1848"/>
        <w:gridCol w:w="1848"/>
        <w:gridCol w:w="1848"/>
        <w:gridCol w:w="1848"/>
      </w:tblGrid>
      <w:tr>
        <w:trPr>
          <w:tblHeader w:val="true"/>
        </w:trPr>
        <w:tc>
          <w:tcPr>
            <w:tcW w:type="dxa" w:w="153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区域</w:t>
            </w:r>
          </w:p>
        </w:tc>
        <w:tc>
          <w:tcPr>
            <w:tcW w:type="dxa" w:w="187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B_Y,PM×B_Z,I N/m</w:t>
            </w:r>
          </w:p>
        </w:tc>
        <w:tc>
          <w:tcPr>
            <w:tcW w:type="dxa" w:w="187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B_Z,PM×B_Y,I N/m</w:t>
            </w:r>
          </w:p>
        </w:tc>
        <w:tc>
          <w:tcPr>
            <w:tcW w:type="dxa" w:w="1474"/>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净贡献 N/m</w:t>
            </w:r>
          </w:p>
        </w:tc>
        <w:tc>
          <w:tcPr>
            <w:tcW w:type="dxa" w:w="136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净贡献占比</w:t>
            </w:r>
          </w:p>
        </w:tc>
      </w:tr>
      <w:tr>
        <w:tc>
          <w:tcPr>
            <w:tcW w:type="dxa" w:w="1531"/>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第一磁极区</w:t>
            </w:r>
          </w:p>
        </w:tc>
        <w:tc>
          <w:tcPr>
            <w:tcW w:type="dxa" w:w="1871"/>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163.8</w:t>
            </w:r>
          </w:p>
        </w:tc>
        <w:tc>
          <w:tcPr>
            <w:tcW w:type="dxa" w:w="1871"/>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110.0</w:t>
            </w:r>
          </w:p>
        </w:tc>
        <w:tc>
          <w:tcPr>
            <w:tcW w:type="dxa" w:w="1474"/>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273.8</w:t>
            </w:r>
          </w:p>
        </w:tc>
        <w:tc>
          <w:tcPr>
            <w:tcW w:type="dxa" w:w="1361"/>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76.4%</w:t>
            </w:r>
          </w:p>
        </w:tc>
      </w:tr>
      <w:tr>
        <w:tc>
          <w:tcPr>
            <w:tcW w:type="dxa" w:w="153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第二磁极区</w:t>
            </w:r>
          </w:p>
        </w:tc>
        <w:tc>
          <w:tcPr>
            <w:tcW w:type="dxa" w:w="187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150.2</w:t>
            </w:r>
          </w:p>
        </w:tc>
        <w:tc>
          <w:tcPr>
            <w:tcW w:type="dxa" w:w="187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-69.8</w:t>
            </w:r>
          </w:p>
        </w:tc>
        <w:tc>
          <w:tcPr>
            <w:tcW w:type="dxa" w:w="1474"/>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80.4</w:t>
            </w:r>
          </w:p>
        </w:tc>
        <w:tc>
          <w:tcPr>
            <w:tcW w:type="dxa" w:w="136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22.4%</w:t>
            </w:r>
          </w:p>
        </w:tc>
      </w:tr>
      <w:tr>
        <w:tc>
          <w:tcPr>
            <w:tcW w:type="dxa" w:w="1531"/>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端部区</w:t>
            </w:r>
          </w:p>
        </w:tc>
        <w:tc>
          <w:tcPr>
            <w:tcW w:type="dxa" w:w="1871"/>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-3.7</w:t>
            </w:r>
          </w:p>
        </w:tc>
        <w:tc>
          <w:tcPr>
            <w:tcW w:type="dxa" w:w="1871"/>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8.1</w:t>
            </w:r>
          </w:p>
        </w:tc>
        <w:tc>
          <w:tcPr>
            <w:tcW w:type="dxa" w:w="1474"/>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4.3</w:t>
            </w:r>
          </w:p>
        </w:tc>
        <w:tc>
          <w:tcPr>
            <w:tcW w:type="dxa" w:w="1361"/>
            <w:tcMar>
              <w:top w:w="90" w:type="dxa"/>
              <w:start w:w="100" w:type="dxa"/>
              <w:bottom w:w="90" w:type="dxa"/>
              <w:end w:w="100" w:type="dxa"/>
            </w:tcMar>
            <w:vAlign w:val="center"/>
          </w:tcPr>
          <w:p>
            <w:pPr>
              <w:spacing w:after="0" w:line="259" w:lineRule="auto"/>
              <w:jc w:val="center"/>
            </w:pPr>
            <w:r>
              <w:rPr>
                <w:rFonts w:ascii="Times New Roman" w:hAnsi="Times New Roman" w:eastAsia="宋体"/>
                <w:sz w:val="17"/>
              </w:rPr>
              <w:t>1.2%</w:t>
            </w:r>
          </w:p>
        </w:tc>
      </w:tr>
    </w:tbl>
    <w:p>
      <w:pPr>
        <w:spacing w:after="20"/>
      </w:pPr>
    </w:p>
    <w:p>
      <w:pPr/>
      <w:r>
        <w:rPr>
          <w:rFonts w:ascii="Times New Roman" w:hAnsi="Times New Roman" w:eastAsia="宋体"/>
          <w:sz w:val="21"/>
        </w:rPr>
        <w:t>第一磁极区贡献273.8 N/m，占总线性贡献的76.4%。第二磁极区的B_Y,PM×B_Z,I项本可贡献150.2 N/m，但B_Z,PM×B_Y,I项产生−69.8 N/m的反向作用，抵消约46.5%，最终净贡献仅80.4 N/m。第三端部区几乎不产生有效推力。</w:t>
      </w:r>
    </w:p>
    <w:p>
      <w:pPr/>
      <w:r>
        <w:rPr>
          <w:rFonts w:ascii="Times New Roman" w:hAnsi="Times New Roman" w:eastAsia="宋体"/>
          <w:sz w:val="21"/>
        </w:rPr>
        <w:t>因此当前结构并非两个交替磁极等效共同工作，而是一个主工作极承担大部分推力，另一个磁极同时受到磁通偏弱、边缘轴向漏磁和反向应力抵消。该结果能够直接解释平均推力提升有限且波动率偏高。</w:t>
      </w:r>
    </w:p>
    <w:p>
      <w:pPr>
        <w:pStyle w:val="Heading1"/>
        <w:keepNext/>
      </w:pPr>
      <w:r>
        <w:rPr>
          <w:rFonts w:ascii="Arial" w:hAnsi="Arial" w:eastAsia="微软雅黑"/>
          <w:b/>
          <w:color w:val="000000"/>
          <w:sz w:val="32"/>
        </w:rPr>
        <w:t>7 原理问题与仿真问题的最终判定</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81"/>
        <w:gridCol w:w="3081"/>
        <w:gridCol w:w="3081"/>
      </w:tblGrid>
      <w:tr>
        <w:trPr>
          <w:tblHeader w:val="true"/>
        </w:trPr>
        <w:tc>
          <w:tcPr>
            <w:tcW w:type="dxa" w:w="1928"/>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候选原因</w:t>
            </w:r>
          </w:p>
        </w:tc>
        <w:tc>
          <w:tcPr>
            <w:tcW w:type="dxa" w:w="3402"/>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证据判断</w:t>
            </w:r>
          </w:p>
        </w:tc>
        <w:tc>
          <w:tcPr>
            <w:tcW w:type="dxa" w:w="2948"/>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处理意见</w:t>
            </w:r>
          </w:p>
        </w:tc>
      </w:tr>
      <w:tr>
        <w:tc>
          <w:tcPr>
            <w:tcW w:type="dxa" w:w="1928"/>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交替极无法用于该电机</w:t>
            </w:r>
          </w:p>
        </w:tc>
        <w:tc>
          <w:tcPr>
            <w:tcW w:type="dxa" w:w="3402"/>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不支持。两个磁极均有同向净推力贡献</w:t>
            </w:r>
          </w:p>
        </w:tc>
        <w:tc>
          <w:tcPr>
            <w:tcW w:type="dxa" w:w="2948"/>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保留交替极总体方案</w:t>
            </w:r>
          </w:p>
        </w:tc>
      </w:tr>
      <w:tr>
        <w:tc>
          <w:tcPr>
            <w:tcW w:type="dxa" w:w="1928"/>
            <w:shd w:fill="F3F7FA"/>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网格不足</w:t>
            </w:r>
          </w:p>
        </w:tc>
        <w:tc>
          <w:tcPr>
            <w:tcW w:type="dxa" w:w="3402"/>
            <w:shd w:fill="F3F7FA"/>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不支持。加密前后差异小于约1%</w:t>
            </w:r>
          </w:p>
        </w:tc>
        <w:tc>
          <w:tcPr>
            <w:tcW w:type="dxa" w:w="2948"/>
            <w:shd w:fill="F3F7FA"/>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维持当前网格准则</w:t>
            </w:r>
          </w:p>
        </w:tc>
      </w:tr>
      <w:tr>
        <w:tc>
          <w:tcPr>
            <w:tcW w:type="dxa" w:w="1928"/>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线圈电流方向错误</w:t>
            </w:r>
          </w:p>
        </w:tc>
        <w:tc>
          <w:tcPr>
            <w:tcW w:type="dxa" w:w="3402"/>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不支持。±1 A中心结果高度对称</w:t>
            </w:r>
          </w:p>
        </w:tc>
        <w:tc>
          <w:tcPr>
            <w:tcW w:type="dxa" w:w="2948"/>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维持现有激励方向</w:t>
            </w:r>
          </w:p>
        </w:tc>
      </w:tr>
      <w:tr>
        <w:tc>
          <w:tcPr>
            <w:tcW w:type="dxa" w:w="1928"/>
            <w:shd w:fill="F3F7FA"/>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永磁体极性错误</w:t>
            </w:r>
          </w:p>
        </w:tc>
        <w:tc>
          <w:tcPr>
            <w:tcW w:type="dxa" w:w="3402"/>
            <w:shd w:fill="F3F7FA"/>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不支持。反转后偏置与波动恶化</w:t>
            </w:r>
          </w:p>
        </w:tc>
        <w:tc>
          <w:tcPr>
            <w:tcW w:type="dxa" w:w="2948"/>
            <w:shd w:fill="F3F7FA"/>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维持原同极性配置</w:t>
            </w:r>
          </w:p>
        </w:tc>
      </w:tr>
      <w:tr>
        <w:tc>
          <w:tcPr>
            <w:tcW w:type="dxa" w:w="1928"/>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铁芯局部饱和</w:t>
            </w:r>
          </w:p>
        </w:tc>
        <w:tc>
          <w:tcPr>
            <w:tcW w:type="dxa" w:w="3402"/>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支持。云图与非线性误差一致</w:t>
            </w:r>
          </w:p>
        </w:tc>
        <w:tc>
          <w:tcPr>
            <w:tcW w:type="dxa" w:w="2948"/>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增加极尖和根部有效截面积</w:t>
            </w:r>
          </w:p>
        </w:tc>
      </w:tr>
      <w:tr>
        <w:tc>
          <w:tcPr>
            <w:tcW w:type="dxa" w:w="1928"/>
            <w:shd w:fill="F3F7FA"/>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两个磁极磁阻和极宽失配</w:t>
            </w:r>
          </w:p>
        </w:tc>
        <w:tc>
          <w:tcPr>
            <w:tcW w:type="dxa" w:w="3402"/>
            <w:shd w:fill="F3F7FA"/>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强支持。贡献比例76.4%对22.4%</w:t>
            </w:r>
          </w:p>
        </w:tc>
        <w:tc>
          <w:tcPr>
            <w:tcW w:type="dxa" w:w="2948"/>
            <w:shd w:fill="F3F7FA"/>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优先优化第二磁极及过渡边缘</w:t>
            </w:r>
          </w:p>
        </w:tc>
      </w:tr>
      <w:tr>
        <w:tc>
          <w:tcPr>
            <w:tcW w:type="dxa" w:w="1928"/>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边缘漏磁导致反向应力</w:t>
            </w:r>
          </w:p>
        </w:tc>
        <w:tc>
          <w:tcPr>
            <w:tcW w:type="dxa" w:w="3402"/>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强支持。第二磁极反向项−69.8 N/m</w:t>
            </w:r>
          </w:p>
        </w:tc>
        <w:tc>
          <w:tcPr>
            <w:tcW w:type="dxa" w:w="2948"/>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调整极边位置和极靴形状</w:t>
            </w:r>
          </w:p>
        </w:tc>
      </w:tr>
    </w:tbl>
    <w:p>
      <w:pPr>
        <w:spacing w:after="20"/>
      </w:pPr>
    </w:p>
    <w:p>
      <w:r>
        <w:br w:type="page"/>
      </w:r>
    </w:p>
    <w:p>
      <w:pPr>
        <w:pStyle w:val="Heading1"/>
        <w:keepNext/>
      </w:pPr>
      <w:r>
        <w:rPr>
          <w:rFonts w:ascii="Arial" w:hAnsi="Arial" w:eastAsia="微软雅黑"/>
          <w:b/>
          <w:color w:val="000000"/>
          <w:sz w:val="32"/>
        </w:rPr>
        <w:t>8 下一阶段优化方案</w:t>
      </w:r>
    </w:p>
    <w:p>
      <w:pPr>
        <w:pStyle w:val="Heading2"/>
        <w:keepNext/>
      </w:pPr>
      <w:r>
        <w:rPr>
          <w:rFonts w:ascii="Arial" w:hAnsi="Arial" w:eastAsia="微软雅黑"/>
          <w:b/>
          <w:color w:val="000000"/>
          <w:sz w:val="25"/>
        </w:rPr>
        <w:t>8.1 第一轮结构扫描</w:t>
      </w:r>
    </w:p>
    <w:p>
      <w:pPr/>
      <w:r>
        <w:rPr>
          <w:rFonts w:ascii="Times New Roman" w:hAnsi="Times New Roman" w:eastAsia="宋体"/>
          <w:sz w:val="21"/>
        </w:rPr>
        <w:t>在永磁体厚度和总体积保持不变的条件下，优先改变铁极和极尖，不先增加永磁体。建议对下列变量进行单因素粗扫：</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10"/>
        <w:gridCol w:w="2310"/>
        <w:gridCol w:w="2310"/>
        <w:gridCol w:w="2310"/>
      </w:tblGrid>
      <w:tr>
        <w:trPr>
          <w:tblHeader w:val="true"/>
        </w:trPr>
        <w:tc>
          <w:tcPr>
            <w:tcW w:type="dxa" w:w="1757"/>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变量</w:t>
            </w:r>
          </w:p>
        </w:tc>
        <w:tc>
          <w:tcPr>
            <w:tcW w:type="dxa" w:w="2098"/>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建议水平</w:t>
            </w:r>
          </w:p>
        </w:tc>
        <w:tc>
          <w:tcPr>
            <w:tcW w:type="dxa" w:w="238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观察指标</w:t>
            </w:r>
          </w:p>
        </w:tc>
        <w:tc>
          <w:tcPr>
            <w:tcW w:type="dxa" w:w="204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目的</w:t>
            </w:r>
          </w:p>
        </w:tc>
      </w:tr>
      <w:tr>
        <w:tc>
          <w:tcPr>
            <w:tcW w:type="dxa" w:w="1757"/>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第二磁极轴向宽度</w:t>
            </w:r>
          </w:p>
        </w:tc>
        <w:tc>
          <w:tcPr>
            <w:tcW w:type="dxa" w:w="2098"/>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−20% −10% 0 +10% +20%</w:t>
            </w:r>
          </w:p>
        </w:tc>
        <w:tc>
          <w:tcPr>
            <w:tcW w:type="dxa" w:w="2381"/>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第二磁极贡献占比</w:t>
            </w:r>
          </w:p>
        </w:tc>
        <w:tc>
          <w:tcPr>
            <w:tcW w:type="dxa" w:w="2041"/>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提高弱磁极有效作用</w:t>
            </w:r>
          </w:p>
        </w:tc>
      </w:tr>
      <w:tr>
        <w:tc>
          <w:tcPr>
            <w:tcW w:type="dxa" w:w="1757"/>
            <w:shd w:fill="F3F7FA"/>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第二磁极相对轴向位置</w:t>
            </w:r>
          </w:p>
        </w:tc>
        <w:tc>
          <w:tcPr>
            <w:tcW w:type="dxa" w:w="2098"/>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以当前值为中心，±2.5和±5 mm</w:t>
            </w:r>
          </w:p>
        </w:tc>
        <w:tc>
          <w:tcPr>
            <w:tcW w:type="dxa" w:w="2381"/>
            <w:shd w:fill="F3F7FA"/>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B_Y换向点和反向应力</w:t>
            </w:r>
          </w:p>
        </w:tc>
        <w:tc>
          <w:tcPr>
            <w:tcW w:type="dxa" w:w="2041"/>
            <w:shd w:fill="F3F7FA"/>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使极边与主磁场过渡区对齐</w:t>
            </w:r>
          </w:p>
        </w:tc>
      </w:tr>
      <w:tr>
        <w:tc>
          <w:tcPr>
            <w:tcW w:type="dxa" w:w="1757"/>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极尖与根部截面积</w:t>
            </w:r>
          </w:p>
        </w:tc>
        <w:tc>
          <w:tcPr>
            <w:tcW w:type="dxa" w:w="2098"/>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当前值、+10%、+20%</w:t>
            </w:r>
          </w:p>
        </w:tc>
        <w:tc>
          <w:tcPr>
            <w:tcW w:type="dxa" w:w="2381"/>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连续高磁密面积和非线性误差</w:t>
            </w:r>
          </w:p>
        </w:tc>
        <w:tc>
          <w:tcPr>
            <w:tcW w:type="dxa" w:w="2041"/>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降低局部饱和</w:t>
            </w:r>
          </w:p>
        </w:tc>
      </w:tr>
      <w:tr>
        <w:tc>
          <w:tcPr>
            <w:tcW w:type="dxa" w:w="1757"/>
            <w:shd w:fill="F3F7FA"/>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极边倒角或圆角</w:t>
            </w:r>
          </w:p>
        </w:tc>
        <w:tc>
          <w:tcPr>
            <w:tcW w:type="dxa" w:w="2098"/>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小、中、较大三档</w:t>
            </w:r>
          </w:p>
        </w:tc>
        <w:tc>
          <w:tcPr>
            <w:tcW w:type="dxa" w:w="2381"/>
            <w:shd w:fill="F3F7FA"/>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B_Z尖峰和应力抵消</w:t>
            </w:r>
          </w:p>
        </w:tc>
        <w:tc>
          <w:tcPr>
            <w:tcW w:type="dxa" w:w="2041"/>
            <w:shd w:fill="F3F7FA"/>
            <w:tcMar>
              <w:top w:w="90" w:type="dxa"/>
              <w:start w:w="100" w:type="dxa"/>
              <w:bottom w:w="90" w:type="dxa"/>
              <w:end w:w="100" w:type="dxa"/>
            </w:tcMar>
            <w:vAlign w:val="center"/>
          </w:tcPr>
          <w:p>
            <w:pPr>
              <w:spacing w:after="0" w:line="259" w:lineRule="auto"/>
              <w:jc w:val="left"/>
            </w:pPr>
            <w:r>
              <w:rPr>
                <w:rFonts w:ascii="Times New Roman" w:hAnsi="Times New Roman" w:eastAsia="宋体"/>
                <w:sz w:val="18"/>
              </w:rPr>
              <w:t>减少边缘轴向漏磁</w:t>
            </w:r>
          </w:p>
        </w:tc>
      </w:tr>
    </w:tbl>
    <w:p>
      <w:pPr>
        <w:spacing w:after="20"/>
      </w:pPr>
    </w:p>
    <w:p>
      <w:pPr>
        <w:pStyle w:val="Heading2"/>
        <w:keepNext/>
      </w:pPr>
      <w:r>
        <w:rPr>
          <w:rFonts w:ascii="Arial" w:hAnsi="Arial" w:eastAsia="微软雅黑"/>
          <w:b/>
          <w:color w:val="000000"/>
          <w:sz w:val="25"/>
        </w:rPr>
        <w:t>8.2 每个候选结构的判据</w:t>
      </w:r>
    </w:p>
    <w:p>
      <w:pPr>
        <w:pStyle w:val="ListNumber"/>
        <w:spacing w:after="60"/>
        <w:ind w:left="369"/>
      </w:pPr>
      <w:r>
        <w:rPr>
          <w:rFonts w:ascii="Times New Roman" w:hAnsi="Times New Roman" w:eastAsia="宋体"/>
          <w:sz w:val="21"/>
        </w:rPr>
        <w:t>先计算a=0 mm、i=−1、0、+1 A，快速评价第二磁极贡献和反向应力。</w:t>
      </w:r>
    </w:p>
    <w:p>
      <w:pPr>
        <w:pStyle w:val="ListNumber"/>
        <w:spacing w:after="60"/>
        <w:ind w:left="369"/>
      </w:pPr>
      <w:r>
        <w:rPr>
          <w:rFonts w:ascii="Times New Roman" w:hAnsi="Times New Roman" w:eastAsia="宋体"/>
          <w:sz w:val="21"/>
        </w:rPr>
        <w:t>保留第二磁极贡献占比不低于35%且局部抵消比例低于20%的方案。</w:t>
      </w:r>
    </w:p>
    <w:p>
      <w:pPr>
        <w:pStyle w:val="ListNumber"/>
        <w:spacing w:after="60"/>
        <w:ind w:left="369"/>
      </w:pPr>
      <w:r>
        <w:rPr>
          <w:rFonts w:ascii="Times New Roman" w:hAnsi="Times New Roman" w:eastAsia="宋体"/>
          <w:sz w:val="21"/>
        </w:rPr>
        <w:t>对入选方案计算a=−10～+10 mm的完整推力曲线，评价平均推力、峰峰值和波动率。</w:t>
      </w:r>
    </w:p>
    <w:p>
      <w:pPr>
        <w:pStyle w:val="ListNumber"/>
        <w:spacing w:after="60"/>
        <w:ind w:left="369"/>
      </w:pPr>
      <w:r>
        <w:rPr>
          <w:rFonts w:ascii="Times New Roman" w:hAnsi="Times New Roman" w:eastAsia="宋体"/>
          <w:sz w:val="21"/>
        </w:rPr>
        <w:t>在永磁体总体积不增加的条件下，与双定子结构比较单位永磁体推力。</w:t>
      </w:r>
    </w:p>
    <w:p>
      <w:pPr>
        <w:pStyle w:val="ListNumber"/>
        <w:spacing w:after="60"/>
        <w:ind w:left="369"/>
      </w:pPr>
      <w:r>
        <w:rPr>
          <w:rFonts w:ascii="Times New Roman" w:hAnsi="Times New Roman" w:eastAsia="宋体"/>
          <w:sz w:val="21"/>
        </w:rPr>
        <w:t>最终在两个气隙的中间圆柱面上进行完整面积Maxwell应力积分，确认一维采样线的结论。</w:t>
      </w:r>
    </w:p>
    <w:p>
      <w:pPr>
        <w:pStyle w:val="Heading2"/>
        <w:keepNext/>
      </w:pPr>
      <w:r>
        <w:rPr>
          <w:rFonts w:ascii="Arial" w:hAnsi="Arial" w:eastAsia="微软雅黑"/>
          <w:b/>
          <w:color w:val="000000"/>
          <w:sz w:val="25"/>
        </w:rPr>
        <w:t>8.3 建议的阶段目标</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81"/>
        <w:gridCol w:w="3081"/>
        <w:gridCol w:w="3081"/>
      </w:tblGrid>
      <w:tr>
        <w:trPr>
          <w:tblHeader w:val="true"/>
        </w:trPr>
        <w:tc>
          <w:tcPr>
            <w:tcW w:type="dxa" w:w="2948"/>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指标</w:t>
            </w:r>
          </w:p>
        </w:tc>
        <w:tc>
          <w:tcPr>
            <w:tcW w:type="dxa" w:w="2381"/>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当前值</w:t>
            </w:r>
          </w:p>
        </w:tc>
        <w:tc>
          <w:tcPr>
            <w:tcW w:type="dxa" w:w="2948"/>
            <w:shd w:fill="1F4E78"/>
            <w:tcMar>
              <w:top w:w="90" w:type="dxa"/>
              <w:start w:w="100" w:type="dxa"/>
              <w:bottom w:w="90" w:type="dxa"/>
              <w:end w:w="100" w:type="dxa"/>
            </w:tcMar>
            <w:vAlign w:val="center"/>
          </w:tcPr>
          <w:p>
            <w:pPr>
              <w:spacing w:after="0"/>
              <w:jc w:val="center"/>
            </w:pPr>
            <w:r>
              <w:rPr>
                <w:rFonts w:ascii="Times New Roman" w:hAnsi="Times New Roman" w:eastAsia="微软雅黑"/>
                <w:b/>
                <w:color w:val="FFFFFF"/>
                <w:sz w:val="18"/>
              </w:rPr>
              <w:t>第一阶段目标</w:t>
            </w:r>
          </w:p>
        </w:tc>
      </w:tr>
      <w:tr>
        <w:tc>
          <w:tcPr>
            <w:tcW w:type="dxa" w:w="2948"/>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第二磁极净贡献占比</w:t>
            </w:r>
          </w:p>
        </w:tc>
        <w:tc>
          <w:tcPr>
            <w:tcW w:type="dxa" w:w="238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22.4%</w:t>
            </w:r>
          </w:p>
        </w:tc>
        <w:tc>
          <w:tcPr>
            <w:tcW w:type="dxa" w:w="2948"/>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至少35%～45%</w:t>
            </w:r>
          </w:p>
        </w:tc>
      </w:tr>
      <w:tr>
        <w:tc>
          <w:tcPr>
            <w:tcW w:type="dxa" w:w="2948"/>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第二磁极反向项占潜在贡献</w:t>
            </w:r>
          </w:p>
        </w:tc>
        <w:tc>
          <w:tcPr>
            <w:tcW w:type="dxa" w:w="238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约46.5%</w:t>
            </w:r>
          </w:p>
        </w:tc>
        <w:tc>
          <w:tcPr>
            <w:tcW w:type="dxa" w:w="2948"/>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低于20%</w:t>
            </w:r>
          </w:p>
        </w:tc>
      </w:tr>
      <w:tr>
        <w:tc>
          <w:tcPr>
            <w:tcW w:type="dxa" w:w="2948"/>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整机推力波动率</w:t>
            </w:r>
          </w:p>
        </w:tc>
        <w:tc>
          <w:tcPr>
            <w:tcW w:type="dxa" w:w="238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11.5%</w:t>
            </w:r>
          </w:p>
        </w:tc>
        <w:tc>
          <w:tcPr>
            <w:tcW w:type="dxa" w:w="2948"/>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先降至7%以内</w:t>
            </w:r>
          </w:p>
        </w:tc>
      </w:tr>
      <w:tr>
        <w:tc>
          <w:tcPr>
            <w:tcW w:type="dxa" w:w="2948"/>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单位永磁体推力</w:t>
            </w:r>
          </w:p>
        </w:tc>
        <w:tc>
          <w:tcPr>
            <w:tcW w:type="dxa" w:w="2381"/>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2.377 N/cm³</w:t>
            </w:r>
          </w:p>
        </w:tc>
        <w:tc>
          <w:tcPr>
            <w:tcW w:type="dxa" w:w="2948"/>
            <w:shd w:fill="F3F7FA"/>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接近或超过2.776 N/cm³</w:t>
            </w:r>
          </w:p>
        </w:tc>
      </w:tr>
      <w:tr>
        <w:tc>
          <w:tcPr>
            <w:tcW w:type="dxa" w:w="2948"/>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铁芯连续高磁密区域</w:t>
            </w:r>
          </w:p>
        </w:tc>
        <w:tc>
          <w:tcPr>
            <w:tcW w:type="dxa" w:w="2381"/>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局部约1.7～2.2 T</w:t>
            </w:r>
          </w:p>
        </w:tc>
        <w:tc>
          <w:tcPr>
            <w:tcW w:type="dxa" w:w="2948"/>
            <w:tcMar>
              <w:top w:w="90" w:type="dxa"/>
              <w:start w:w="100" w:type="dxa"/>
              <w:bottom w:w="90" w:type="dxa"/>
              <w:end w:w="100" w:type="dxa"/>
            </w:tcMar>
            <w:vAlign w:val="center"/>
          </w:tcPr>
          <w:p>
            <w:pPr>
              <w:spacing w:after="0" w:line="259" w:lineRule="auto"/>
              <w:jc w:val="center"/>
            </w:pPr>
            <w:r>
              <w:rPr>
                <w:rFonts w:ascii="Times New Roman" w:hAnsi="Times New Roman" w:eastAsia="宋体"/>
                <w:sz w:val="18"/>
              </w:rPr>
              <w:t>缩小超过材料拐点的有效面积</w:t>
            </w:r>
          </w:p>
        </w:tc>
      </w:tr>
    </w:tbl>
    <w:p>
      <w:pPr>
        <w:spacing w:after="20"/>
      </w:pPr>
    </w:p>
    <w:p>
      <w:pPr>
        <w:pStyle w:val="Heading1"/>
        <w:keepNext/>
      </w:pPr>
      <w:r>
        <w:rPr>
          <w:rFonts w:ascii="Arial" w:hAnsi="Arial" w:eastAsia="微软雅黑"/>
          <w:b/>
          <w:color w:val="000000"/>
          <w:sz w:val="32"/>
        </w:rPr>
        <w:t>9 汇报结论</w:t>
      </w:r>
    </w:p>
    <w:p>
      <w:pPr/>
      <w:r>
        <w:rPr>
          <w:rFonts w:ascii="Times New Roman" w:hAnsi="Times New Roman" w:eastAsia="宋体"/>
          <w:sz w:val="21"/>
        </w:rPr>
        <w:t>本次排查已经从网格、激励、极性、受力对象和气隙磁场多个角度排除了主要设置错误。单定子交替极结构能够建立交替气隙磁场，正负电流也能产生方向相反的轴向推力，因此原理迁移成立。</w:t>
      </w:r>
    </w:p>
    <w:p>
      <w:pPr/>
      <w:r>
        <w:rPr>
          <w:rFonts w:ascii="Times New Roman" w:hAnsi="Times New Roman" w:eastAsia="宋体"/>
          <w:sz w:val="21"/>
        </w:rPr>
        <w:t>当前性能不及预期的直接原因是磁极利用不均：第一磁极贡献约76%，第二磁极仅约22%；第二磁极内部还有约46.5%的潜在作用被反向应力抵消。同时极尖和根部局部饱和，使电流增磁和去磁不完全对称。下一阶段应保持永磁体用量不增加，重点优化第二磁极宽度、相对位置、极尖截面积和极边形状。</w:t>
      </w:r>
    </w:p>
    <w:p>
      <w:pPr/>
      <w:r>
        <w:rPr>
          <w:rFonts w:ascii="Times New Roman" w:hAnsi="Times New Roman" w:eastAsia="宋体"/>
          <w:sz w:val="21"/>
        </w:rPr>
        <w:t>完成上述优化后，再用完整三维气隙面积应力积分和整机推力曲线验证。只有当平均推力、波动率和单位永磁体推力同时改善时，才能证明交替极结构在该振荡电机上的迁移取得实质效果。</w:t>
      </w:r>
    </w:p>
    <w:p>
      <w:pPr>
        <w:pStyle w:val="Heading1"/>
        <w:keepNext/>
      </w:pPr>
      <w:r>
        <w:rPr>
          <w:rFonts w:ascii="Arial" w:hAnsi="Arial" w:eastAsia="微软雅黑"/>
          <w:b/>
          <w:color w:val="000000"/>
          <w:sz w:val="32"/>
        </w:rPr>
        <w:t>依据材料</w:t>
      </w:r>
    </w:p>
    <w:p>
      <w:pPr>
        <w:pStyle w:val="ListBullet"/>
        <w:spacing w:after="60"/>
        <w:ind w:left="369"/>
      </w:pPr>
      <w:r>
        <w:rPr>
          <w:rFonts w:ascii="Times New Roman" w:hAnsi="Times New Roman" w:eastAsia="宋体"/>
          <w:sz w:val="21"/>
        </w:rPr>
        <w:t>杨小宝：《双交替极横向磁通永磁电机的基础研究》。</w:t>
      </w:r>
    </w:p>
    <w:p>
      <w:pPr>
        <w:pStyle w:val="ListBullet"/>
        <w:spacing w:after="60"/>
        <w:ind w:left="369"/>
      </w:pPr>
      <w:r>
        <w:rPr>
          <w:rFonts w:ascii="Times New Roman" w:hAnsi="Times New Roman" w:eastAsia="宋体"/>
          <w:sz w:val="21"/>
        </w:rPr>
        <w:t>罗俊：《双交替极横向磁通直线电机的优化与设计》。</w:t>
      </w:r>
    </w:p>
    <w:p>
      <w:pPr>
        <w:pStyle w:val="ListBullet"/>
        <w:spacing w:after="60"/>
        <w:ind w:left="369"/>
      </w:pPr>
      <w:r>
        <w:rPr>
          <w:rFonts w:ascii="Times New Roman" w:hAnsi="Times New Roman" w:eastAsia="宋体"/>
          <w:sz w:val="21"/>
        </w:rPr>
        <w:t>《动磁式横向磁通直线振荡电机推力特性分析》。</w:t>
      </w:r>
    </w:p>
    <w:p>
      <w:pPr>
        <w:pStyle w:val="ListBullet"/>
        <w:spacing w:after="60"/>
        <w:ind w:left="369"/>
      </w:pPr>
      <w:r>
        <w:rPr>
          <w:rFonts w:ascii="Times New Roman" w:hAnsi="Times New Roman" w:eastAsia="宋体"/>
          <w:sz w:val="21"/>
        </w:rPr>
        <w:t>《A直线压缩机用横向磁通永磁直线振荡电机》。</w:t>
      </w:r>
    </w:p>
    <w:p>
      <w:pPr>
        <w:pStyle w:val="ListBullet"/>
        <w:spacing w:after="60"/>
        <w:ind w:left="369"/>
      </w:pPr>
      <w:r>
        <w:rPr>
          <w:rFonts w:ascii="Times New Roman" w:hAnsi="Times New Roman" w:eastAsia="宋体"/>
          <w:sz w:val="21"/>
        </w:rPr>
        <w:t>项目模型：my_LOM(3).aedt，best设计。</w:t>
      </w:r>
    </w:p>
    <w:p>
      <w:pPr>
        <w:pStyle w:val="ListBullet"/>
        <w:spacing w:after="60"/>
        <w:ind w:left="369"/>
      </w:pPr>
      <w:r>
        <w:rPr>
          <w:rFonts w:ascii="Times New Roman" w:hAnsi="Times New Roman" w:eastAsia="宋体"/>
          <w:sz w:val="21"/>
        </w:rPr>
        <w:t>原理说明：opt_single_stator.docx。</w:t>
      </w:r>
    </w:p>
    <w:p>
      <w:pPr>
        <w:pStyle w:val="ListBullet"/>
        <w:spacing w:after="60"/>
        <w:ind w:left="369"/>
      </w:pPr>
      <w:r>
        <w:rPr>
          <w:rFonts w:ascii="Times New Roman" w:hAnsi="Times New Roman" w:eastAsia="宋体"/>
          <w:sz w:val="21"/>
        </w:rPr>
        <w:t>性能对比：推力对比.docx。</w:t>
      </w:r>
    </w:p>
    <w:p>
      <w:pPr>
        <w:pStyle w:val="ListBullet"/>
        <w:spacing w:after="60"/>
        <w:ind w:left="369"/>
      </w:pPr>
      <w:r>
        <w:rPr>
          <w:rFonts w:ascii="Times New Roman" w:hAnsi="Times New Roman" w:eastAsia="宋体"/>
          <w:sz w:val="21"/>
        </w:rPr>
        <w:t>仿真数据：IC=5.csv、mesh_cheack.csv、pole_S.csv、F_move_PM.csv、BY(3).csv、BZ.csv。</w:t>
      </w:r>
    </w:p>
    <w:sectPr w:rsidR="00FC693F" w:rsidRPr="0006063C" w:rsidSect="00034616">
      <w:headerReference w:type="default" r:id="rId9"/>
      <w:footerReference w:type="default" r:id="rId10"/>
      <w:pgSz w:w="11906" w:h="16838"/>
      <w:pgMar w:top="1276" w:right="1332" w:bottom="1191" w:left="1332"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46464"/>
        <w:sz w:val="17"/>
      </w:rPr>
      <w:t xml:space="preserve">第 </w:t>
    </w:r>
    <w:fldSimple w:instr="PAGE"/>
    <w:r>
      <w:rPr>
        <w:rFonts w:ascii="Times New Roman" w:hAnsi="Times New Roman" w:eastAsia="宋体"/>
        <w:color w:val="646464"/>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微软雅黑"/>
        <w:color w:val="646464"/>
        <w:sz w:val="16"/>
      </w:rPr>
      <w:t>单定子交替极横向磁通直线振荡电机仿真诊断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eastAsia="微软雅黑"/>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微软雅黑"/>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微软雅黑"/>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单定子交替极横向磁通直线振荡电机仿真诊断报告</dc:title>
  <dc:subject>原理迁移合理性 仿真设置复核与推力不足原因分析</dc:subject>
  <dc:creator>python-docx</dc:creator>
  <cp:keywords>横向磁通 直线振荡电机 交替极 Maxwell 推力 磁密</cp:keywords>
  <dc:description>generated by python-docx</dc:description>
  <cp:lastModifiedBy/>
  <cp:revision>1</cp:revision>
  <dcterms:created xsi:type="dcterms:W3CDTF">2013-12-23T23:15:00Z</dcterms:created>
  <dcterms:modified xsi:type="dcterms:W3CDTF">2013-12-23T23:15:00Z</dcterms:modified>
  <cp:category/>
</cp:coreProperties>
</file>