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60"/>
      </w:pPr>
      <w:r>
        <w:rPr>
          <w:rFonts w:ascii="Calibri" w:hAnsi="Calibri" w:eastAsia="Microsoft YaHei"/>
          <w:b/>
          <w:color w:val="2E74B5"/>
          <w:sz w:val="22"/>
        </w:rPr>
        <w:t>产品设计文档</w:t>
      </w:r>
    </w:p>
    <w:p>
      <w:pPr>
        <w:spacing w:after="160"/>
      </w:pPr>
      <w:r>
        <w:rPr>
          <w:rFonts w:ascii="Calibri" w:hAnsi="Calibri" w:eastAsia="Microsoft YaHei"/>
          <w:b/>
          <w:color w:val="1F2937"/>
          <w:sz w:val="48"/>
        </w:rPr>
        <w:t>PyPTO 基于 GDR 算子的整网接入内存优化</w:t>
      </w:r>
    </w:p>
    <w:p>
      <w:pPr>
        <w:spacing w:after="400"/>
      </w:pPr>
      <w:r>
        <w:rPr>
          <w:rFonts w:ascii="Calibri" w:hAnsi="Calibri" w:eastAsia="Microsoft YaHei"/>
          <w:color w:val="667085"/>
          <w:sz w:val="26"/>
        </w:rPr>
        <w:t>面向 Eager / ACLGraph 场景的内存治理、预算可观测与 Profiling 适配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文档版本：</w:t>
      </w:r>
      <w:r>
        <w:rPr>
          <w:rFonts w:ascii="Calibri" w:hAnsi="Calibri" w:eastAsia="Microsoft YaHei"/>
          <w:color w:val="1F2937"/>
          <w:sz w:val="21"/>
        </w:rPr>
        <w:t>V1.0（评审稿）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需求来源：</w:t>
      </w:r>
      <w:r>
        <w:rPr>
          <w:rFonts w:ascii="Calibri" w:hAnsi="Calibri" w:eastAsia="Microsoft YaHei"/>
          <w:color w:val="1F2937"/>
          <w:sz w:val="21"/>
        </w:rPr>
        <w:t>GitCode CANN/pypto Issue #2880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产品范围：</w:t>
      </w:r>
      <w:r>
        <w:rPr>
          <w:rFonts w:ascii="Calibri" w:hAnsi="Calibri" w:eastAsia="Microsoft YaHei"/>
          <w:color w:val="1F2937"/>
          <w:sz w:val="21"/>
        </w:rPr>
        <w:t>PyPTO Runtime、编译产物、Torch 内存池、Profiling 与调优工具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目标周期：</w:t>
      </w:r>
      <w:r>
        <w:rPr>
          <w:rFonts w:ascii="Calibri" w:hAnsi="Calibri" w:eastAsia="Microsoft YaHei"/>
          <w:color w:val="1F2937"/>
          <w:sz w:val="21"/>
        </w:rPr>
        <w:t>Q3；需求拆解目标日期 2026-08-10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负责人：</w:t>
      </w:r>
      <w:r>
        <w:rPr>
          <w:rFonts w:ascii="Calibri" w:hAnsi="Calibri" w:eastAsia="Microsoft YaHei"/>
          <w:color w:val="1F2937"/>
          <w:sz w:val="21"/>
        </w:rPr>
        <w:t>Issue 指定负责人：meiqing2</w:t>
      </w:r>
    </w:p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设计结论  </w:t>
            </w:r>
            <w:r>
              <w:rPr>
                <w:rFonts w:ascii="Calibri" w:hAnsi="Calibri" w:eastAsia="Microsoft YaHei"/>
                <w:color w:val="1F2937"/>
              </w:rPr>
              <w:t>优先消除与算子无关的固定开销（782.90 MB 性能缓冲、100 MB 控制流缓存），再按执行模式和实际编译结果精细化 RingBuffer、Workspace 与 metadata；同时建立可归因、可对比、可验收的统一内存观测能力。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文档说明</w:t>
      </w:r>
    </w:p>
    <w:p>
      <w:r>
        <w:rPr>
          <w:rFonts w:ascii="Calibri" w:hAnsi="Calibri" w:eastAsia="Microsoft YaHei"/>
        </w:rPr>
        <w:t>本文档基于 2026-08-05 保存的 Issue #2880 页面及其中的实测报告整理。报告中的测量值用于建立基线，不自动等同于最终产品承诺；带“待核实”的口径必须在需求评审或实现阶段闭环。</w:t>
      </w:r>
    </w:p>
    <w:p>
      <w:r>
        <w:br w:type="page"/>
      </w:r>
    </w:p>
    <w:p>
      <w:pPr>
        <w:pStyle w:val="Heading1"/>
        <w:keepNext/>
      </w:pPr>
      <w:r>
        <w:t>1. 执行摘要</w:t>
      </w:r>
    </w:p>
    <w:p>
      <w:r>
        <w:rPr>
          <w:rFonts w:ascii="Calibri" w:hAnsi="Calibri" w:eastAsia="Microsoft YaHei"/>
        </w:rPr>
        <w:t>较大融合算子在使用 stitch_num 与 unroll 后，内部中间张量、OutCast、控制流缓存和元数据会显著放大。GDR 正向与反向用例显示，当前实现还叠加了与算子无关的进程级固定分配、固定 100 MB 控制流缓存、模式不敏感的 RingBuffer，以及难以被现有 Profiling 正确归因的 Torch/CANN 双通道内存。</w:t>
      </w:r>
    </w:p>
    <w:p>
      <w:r>
        <w:rPr>
          <w:rFonts w:ascii="Calibri" w:hAnsi="Calibri" w:eastAsia="Microsoft YaHei"/>
        </w:rPr>
        <w:t>本产品设计将内存治理拆成四条主线：固定开销门控、执行模式感知的按需分配、编译预算精细化、统一观测与调优。优先级最高的工作应先带来确定性节省，再推进 Workspace 算法和元数据估算优化。</w:t>
      </w:r>
    </w:p>
    <w:p>
      <w:pPr>
        <w:pStyle w:val="Heading2"/>
        <w:keepNext/>
      </w:pPr>
      <w:r>
        <w:t>1.1 预期业务价值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提升大融合算子的整网接入成功率，降低因 HBM 峰值过高导致的 OOM 与调优阻塞。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把“内存占用过大”转化为可定位到生命周期、申请入口、算子阶段和数据结构的明确问题。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 Eager、ACLGraph、A2/A3/A5 等场景获得与实际需求匹配的分配策略，避免一刀切预留。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为性能调优 Agent/Skill 提供可信数据源和可执行建议，缩短人工分析链路。</w:t>
      </w:r>
    </w:p>
    <w:p>
      <w:pPr>
        <w:pStyle w:val="Heading1"/>
        <w:keepNext/>
      </w:pPr>
      <w:r>
        <w:t>2. 背景与用户问题</w:t>
      </w:r>
    </w:p>
    <w:p>
      <w:pPr>
        <w:pStyle w:val="Heading2"/>
        <w:keepNext/>
      </w:pPr>
      <w:r>
        <w:t>2.1 目标用户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3000"/>
        <w:gridCol w:w="4560"/>
      </w:tblGrid>
      <w:tr>
        <w:trPr>
          <w:trHeight w:hRule="atLeast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核心任务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当前痛点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算子开发者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开发和调优 stitch/unroll 融合算子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无法快速判断 Workspace、OutCast、metadata 中谁主导峰值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整网集成人员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将 GDR 等算子接入模型并控制整网 HBM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单算子可运行，但叠加固定开销后整网空间不足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框架开发者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维护 Runtime、内存池和编译预算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Host 估算与 Device 实际使用缺少统一对账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性能/Profiling 工程师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采集、归因和比较内存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atten::empty 无法区分 PyPTO；Total Allocated 不包含全部申请</w:t>
            </w:r>
          </w:p>
        </w:tc>
      </w:tr>
    </w:tbl>
    <w:p>
      <w:pPr>
        <w:pStyle w:val="Heading2"/>
        <w:keepNext/>
      </w:pPr>
      <w:r>
        <w:t>2.2 核心使用场景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Eager 单算子/整网运行：没有控制流提前发射，RingBuffer 应最小化，并尽量由 Torch 内存池统一管理。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ACLGraph 提前发射：保留多槽 RingBuffer，但容量应基于实际控制流数据计算。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大 stitch/unroll 编译：在分配前展示 rootInner、OutCast、spill、metadata 等维度的预算与放大因子。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Profiling/回归：同时统计 rtMalloc、aclrtMalloc 和 torch.empty，并能按 PyPTO 算子与生命周期聚合。</w:t>
      </w:r>
    </w:p>
    <w:p>
      <w:r>
        <w:br w:type="page"/>
      </w:r>
    </w:p>
    <w:p>
      <w:pPr>
        <w:pStyle w:val="Heading1"/>
        <w:keepNext/>
      </w:pPr>
      <w:r>
        <w:t>3. 现状基线与问题诊断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基线环境  </w:t>
            </w:r>
            <w:r>
              <w:rPr>
                <w:rFonts w:ascii="Calibri" w:hAnsi="Calibri" w:eastAsia="Microsoft YaHei"/>
                <w:color w:val="1F2937"/>
              </w:rPr>
              <w:t>CANN 9.0.0，A3/910C，PYPTO_MEM_LOG=1；GDR fwd/bwd 均为 k_eff=64、parallelism=1、aicoreCount=75，测试结果 PASS。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生命周期基线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300"/>
        <w:gridCol w:w="2600"/>
        <w:gridCol w:w="2600"/>
        <w:gridCol w:w="2860"/>
      </w:tblGrid>
      <w:tr>
        <w:trPr>
          <w:trHeight w:hRule="atLeast"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生命周期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主要组成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GDR 实测/报告口径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产品判断</w:t>
            </w:r>
          </w:p>
        </w:tc>
      </w:tr>
      <w:tr>
        <w:trPr>
          <w:trHeight w:hRule="atLeast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进程级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DeviceArgs、后端 SO、AICore 性能缓冲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1.4 MB / 0.95 MB / 782.90 MB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性能缓冲是首要固定开销，应受开关控制</w:t>
            </w:r>
          </w:p>
        </w:tc>
      </w:tr>
      <w:tr>
        <w:trPr>
          <w:trHeight w:hRule="atLeast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算子级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DevAscendProgram、RingBuffer+metadata、dynamicCellMatch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96.55-105.48 MB / 约 100 MB / 0.06-96 MB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固定预留和按平台估算均需精细化</w:t>
            </w:r>
          </w:p>
        </w:tc>
      </w:tr>
      <w:tr>
        <w:trPr>
          <w:trHeight w:hRule="atLeast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每次 Launch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Torch Workspace、用户 I/O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382.73-519.69 MB / 322.63-589.13 MB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需统一池化、预算解释和峰值控制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7A5A00"/>
              </w:rPr>
              <w:t xml:space="preserve">数据口径提醒  </w:t>
            </w:r>
            <w:r>
              <w:rPr>
                <w:rFonts w:ascii="Calibri" w:hAnsi="Calibri" w:eastAsia="Microsoft YaHei"/>
                <w:color w:val="1F2937"/>
              </w:rPr>
              <w:t>Issue 的生命周期汇总写为“进程级约 885 MB”，但列项 1.4 + 0.95 + 782.90 约为 785.25 MB。可能存在未列出的约 100 MB 项或统计重复，必须通过统一采集再次核对。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正向/反向峰值对比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00"/>
        <w:gridCol w:w="1800"/>
        <w:gridCol w:w="1800"/>
        <w:gridCol w:w="3460"/>
      </w:tblGrid>
      <w:tr>
        <w:trPr>
          <w:trHeight w:hRule="atLeast"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GDR fwd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GDR bwd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差异解释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C++ rtMalloc 小计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980.73 MB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1094.49 MB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bwd 增加 dynamicCellMatch 与编译产物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Torch Workspace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382.73 MB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519.69 MB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bwd rootInner 占主导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Torch reserved / allocated 峰值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1040 / 898.64 MB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3708 / 2826.95 MB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bwd I/O 与运行期分配更高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HBM 增量（npu-smi）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+2223 MB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+5024 MB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包含框架、池化与运行时综合开销</w:t>
            </w:r>
          </w:p>
        </w:tc>
      </w:tr>
    </w:tbl>
    <w:p>
      <w:pPr>
        <w:pStyle w:val="Heading2"/>
        <w:keepNext/>
      </w:pPr>
      <w:r>
        <w:t>3.3 主要根因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固定分配：非 SIM 模式下 AICore 性能缓冲无条件分配 782.90 MB，与算子无关。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固定预留：DevAscendProgram 中 ctrlflowCache.cacheData 恒为 100,000,000 B（95.37 MB）。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模式不敏感：Eager 不存在提前发射，但 RingBuffer 仍按多槽策略分配。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放大因子：Workspace 的 rootInner、staticOutcast 受 k_eff、assemble slot、boundary/temporal slot 等影响。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平台差异：A2/A3 与 A5 元数据规模不同，SlabAllocator 不能共享同一估算模型。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观测割裂：CANN Runtime 与 Torch 内存池分别统计，Profiling 无法完整归因到 PyPTO 算子。</w:t>
      </w:r>
    </w:p>
    <w:p>
      <w:r>
        <w:br w:type="page"/>
      </w:r>
    </w:p>
    <w:p>
      <w:pPr>
        <w:pStyle w:val="Heading1"/>
        <w:keepNext/>
      </w:pPr>
      <w:r>
        <w:t>4. 产品目标与边界</w:t>
      </w:r>
    </w:p>
    <w:p>
      <w:pPr>
        <w:pStyle w:val="Heading2"/>
        <w:keepNext/>
      </w:pPr>
      <w:r>
        <w:t>4.1 产品目标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G1：默认运行路径不为未启用的性能采集能力长期占用大块 HBM。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G2：RingBuffer、CtrlflowCache、Workspace 与 metadata 按执行模式和实际编译结果定量分配。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G3：在申请前后均可输出统一内存账本，实现 Host 预算与 Device 实际值对账。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G4：现有 Profiling 能识别 PyPTO 内存，覆盖输入、输出、Workspace、元数据和 Runtime 直接申请。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G5：将可复用的诊断与优化策略沉淀为 Agent/Skill。</w:t>
      </w:r>
    </w:p>
    <w:p>
      <w:pPr>
        <w:pStyle w:val="Heading2"/>
        <w:keepNext/>
      </w:pPr>
      <w:r>
        <w:t>4.2 非目标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本期不重写 Torch NPU 内存池，也不改变其通用分配与回收算法。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本期不以牺牲算子正确性或提前发射能力为代价强制统一所有模式。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本期不承诺直接消除全部 bwd 峰值；Workspace 算法优化需在可解释基线之上逐项推进。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本期不把单一 GDR 用例的数值硬编码为所有算子或所有硬件的默认值。</w:t>
      </w:r>
    </w:p>
    <w:p>
      <w:pPr>
        <w:pStyle w:val="Heading2"/>
        <w:keepNext/>
      </w:pPr>
      <w:r>
        <w:t>4.3 设计原则</w:t>
      </w:r>
    </w:p>
    <w:p>
      <w:r>
        <w:rPr>
          <w:rFonts w:ascii="Calibri" w:hAnsi="Calibri" w:eastAsia="Microsoft YaHei"/>
        </w:rPr>
        <w:t>按需优于预留，模式优于全局，测量优于猜测，生命周期优于申请点，兼容优于一次性重构。所有新增开关必须有安全默认值，所有动态缩减必须在分配前完成边界检查，并在异常时能够回退到兼容路径。</w:t>
      </w:r>
    </w:p>
    <w:p>
      <w:pPr>
        <w:pStyle w:val="Heading1"/>
        <w:keepNext/>
      </w:pPr>
      <w:r>
        <w:t>5. 方案概览</w:t>
      </w:r>
    </w:p>
    <w:p>
      <w:r>
        <w:rPr>
          <w:rFonts w:ascii="Calibri" w:hAnsi="Calibri" w:eastAsia="Microsoft YaHei"/>
        </w:rPr>
        <w:t>配置/执行模式 -&gt; 编译期预算器 -&gt; 分配计划与阈值校验 -&gt; Runtime/Torch 统一分配标记 -&gt; Device 实际账本 -&gt; Profiling/Agent 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核心策略  </w:t>
            </w:r>
            <w:r>
              <w:rPr>
                <w:rFonts w:ascii="Calibri" w:hAnsi="Calibri" w:eastAsia="Microsoft YaHei"/>
                <w:color w:val="1F2937"/>
              </w:rPr>
              <w:t>先缩减确定性的固定项，再治理随算子变化的预算项；所有节省均以运行正确、性能无显著回退、可观测数据闭环为前提。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功能需求设计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00"/>
        <w:gridCol w:w="1900"/>
        <w:gridCol w:w="5100"/>
        <w:gridCol w:w="1260"/>
      </w:tblGrid>
      <w:tr>
        <w:trPr>
          <w:trHeight w:hRule="atLeast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核心设计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优先级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性能缓冲门控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AICore perf 内存按采集开关惰性创建；关闭时不分配，开启时全程复用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CtrlflowCache 精确化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Host 可计算时按实际编码大小分配；无控制流缓存需求时不保留固定 100 MB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RingBuffer 模式感知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Eager 默认 count=1；ACLGraph 根据提前发射深度配置并校验上限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Eager 统一池化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非提前发射场景将 RingBuffer 与 Workspace 交由 Torch 内存池管理；复用 RTS TilingData 随路通路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内存预算报告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 rootInner、OutCast、spill、stitch、dynamicCellMatch、I/O 展示公式、放大因子和生命周期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硬件感知估算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A2/A3/A5 使用独立 metadata/SlabAllocator 参数模型，并记录模型版本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P1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Profiling 适配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为 PyPTO 分配增加可归因标识，纳入 Total Allocated，并补齐 I/O 内存字段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P1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MEM-008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调优 Agent/Skill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依据预算和实测差异输出配置建议、热点排序与回归对比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P1</w:t>
            </w:r>
          </w:p>
        </w:tc>
      </w:tr>
    </w:tbl>
    <w:p>
      <w:pPr>
        <w:pStyle w:val="Heading2"/>
        <w:keepNext/>
      </w:pPr>
      <w:r>
        <w:t>6.1 MEM-001：性能缓冲门控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默认关闭性能采集时，DeviceRunner::Init 不申请 76 x 10.3 MB 的性能缓冲。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首次启用性能采集时惰性分配；同一进程内跨算子复用，避免重复创建。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开关切换、并发初始化和失败回退必须线程安全；日志记录开关状态和实际分配量。</w:t>
      </w:r>
    </w:p>
    <w:p>
      <w:pPr>
        <w:pStyle w:val="Heading2"/>
        <w:keepNext/>
      </w:pPr>
      <w:r>
        <w:t>6.2 MEM-002/003/004：执行模式感知分配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Eager：RingBuffer count=1；无 Host CtrlflowCache 时固定缓存为 0；RingBuffer/Workspace 统一进入 Torch 池。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ACLGraph：根据提前发射深度计算 RingBuffer count；CtrlflowCache 以编译结果/Host 计算结果为准。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若精确计算不可用，允许回退到兼容预留值，但必须输出 fallback_reason。</w:t>
      </w:r>
    </w:p>
    <w:p>
      <w:r>
        <w:br w:type="page"/>
      </w:r>
    </w:p>
    <w:p>
      <w:pPr>
        <w:pStyle w:val="Heading2"/>
        <w:keepNext/>
      </w:pPr>
      <w:r>
        <w:t>6.3 MEM-005：内存预算与账本</w:t>
      </w:r>
    </w:p>
    <w:p>
      <w:r>
        <w:rPr>
          <w:rFonts w:ascii="Calibri" w:hAnsi="Calibri" w:eastAsia="Microsoft YaHei"/>
        </w:rPr>
        <w:t>预算报告在编译完成、真正分配前生成；实际账本在分配成功后更新。两者使用同一维度命名和生命周期分类，允许直接计算 estimate_delta。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3000"/>
        <w:gridCol w:w="4260"/>
      </w:tblGrid>
      <w:tr>
        <w:trPr>
          <w:trHeight w:hRule="atLeast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示例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allocation_source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申请入口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rtMalloc / aclrtMalloc / torch.empty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lifecycle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生命周期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process / operator / launch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component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内存组成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perf / ctrlflow / rootInner / outcast / metadata / I/O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运行上下文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device、mode、operator、phase、hardware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bytes_estimated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Host 预算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519.69 MB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bytes_requested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实际请求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519.69 MB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bytes_reserved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内存池保留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3708 MB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formula_factors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放大因子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k_eff=64、assemble_slot=…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fallback_reason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兼容回退原因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host_ctrlflow_size_unavailable</w:t>
            </w:r>
          </w:p>
        </w:tc>
      </w:tr>
    </w:tbl>
    <w:p>
      <w:pPr>
        <w:pStyle w:val="Heading2"/>
        <w:keepNext/>
      </w:pPr>
      <w:r>
        <w:t>6.4 MEM-006：硬件感知估算</w:t>
      </w:r>
    </w:p>
    <w:p>
      <w:r>
        <w:rPr>
          <w:rFonts w:ascii="Calibri" w:hAnsi="Calibri" w:eastAsia="Microsoft YaHei"/>
        </w:rPr>
        <w:t>引入 hardware_profile 维度，由硬件代际选择 SlabAllocator、slot 与 dynamicCellMatch 的估算参数。参数必须版本化并可在日志中回溯；未知硬件走保守兼容策略并提示未校准。</w:t>
      </w:r>
    </w:p>
    <w:p>
      <w:pPr>
        <w:pStyle w:val="Heading2"/>
        <w:keepNext/>
      </w:pPr>
      <w:r>
        <w:t>6.5 MEM-007：Profiling 适配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为通过 torch.empty 产生的 PyPTO Workspace 增加稳定算子标识，避免只显示 atten::empty。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memory_record 的 Total Allocated 口径覆盖 PyPTO Runtime 直接申请，或提供并列的 external_runtime_allocated。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operator_memory 增加 Input/Output、Workspace、metadata、process-shared 字段；共享项禁止重复计入单算子总量。</w:t>
      </w:r>
    </w:p>
    <w:p>
      <w:pPr>
        <w:pStyle w:val="Heading2"/>
        <w:keepNext/>
      </w:pPr>
      <w:r>
        <w:t>6.6 MEM-008：调优 Agent/Skill</w:t>
      </w:r>
    </w:p>
    <w:p>
      <w:r>
        <w:rPr>
          <w:rFonts w:ascii="Calibri" w:hAnsi="Calibri" w:eastAsia="Microsoft YaHei"/>
        </w:rPr>
        <w:t>Skill 输入统一账本和预算报告，输出热点 Top N、Host/Device 偏差、可行动建议和预估节省。自动修改配置或代码不在默认权限内，建议需包含依据、适用模式、风险和验证用例。</w:t>
      </w:r>
    </w:p>
    <w:p>
      <w:r>
        <w:br w:type="page"/>
      </w:r>
    </w:p>
    <w:p>
      <w:pPr>
        <w:pStyle w:val="Heading1"/>
        <w:keepNext/>
      </w:pPr>
      <w:r>
        <w:t>7.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7460"/>
      </w:tblGrid>
      <w:tr>
        <w:trPr>
          <w:trHeight w:hRule="atLeast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要求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兼容性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默认配置保证既有用例可运行；无法精确计算时可回退至旧策略并记录原因。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性能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关闭诊断日志时新增判断不进入热路径；P0 优化不得造成可感知的算子性能回退。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正确性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所有动态容量必须完成上界、对齐、溢出和空值检查；缩减后不得发生越界或数据覆盖。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稳定性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进程级惰性初始化必须线程安全；OOM 时输出完整分配计划和失败项。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可观测性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PYPTO_MEM_LOG 保持门控；结构化字段稳定，支持前后版本对比和自动解析。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可测试性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每项分配策略均提供单元测试、模式矩阵测试、GDR 回归与峰值采集脚本。</w:t>
            </w:r>
          </w:p>
        </w:tc>
      </w:tr>
    </w:tbl>
    <w:p>
      <w:pPr>
        <w:pStyle w:val="Heading1"/>
        <w:keepNext/>
      </w:pPr>
      <w:r>
        <w:t>8.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00"/>
        <w:gridCol w:w="2400"/>
        <w:gridCol w:w="5860"/>
      </w:tblGrid>
      <w:tr>
        <w:trPr>
          <w:trHeight w:hRule="atLeast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验收项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通过标准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性能缓冲关闭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默认非采集运行中，782.90 MB perf 缓冲不产生；开启后数据采集功能正常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Eager 控制流缓存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无控制流缓存需求时，不再出现固定 100,000,000 B cacheData 预留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Eager RingBuffer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count=1，且由统一池管理；功能与性能回归通过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ACLGraph 兼容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提前发射场景按深度分配，所有控制流回归用例通过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预算可解释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fwd/bwd 报告可复现 Workspace、metadata、DevAscendProgram 的组成与公式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估算对账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同口径的 requested 与实际 Device 分配差异可量化，未归因项为 0 或明确列出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Profiling 完整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可筛选 PyPTO 算子并查看 I/O、Workspace、Runtime 直接申请和共享项</w:t>
            </w:r>
          </w:p>
        </w:tc>
      </w:tr>
      <w:tr>
        <w:trPr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回归稳定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GDR fwd/bwd 原始用例 PASS；连续 3 次采集的关键分配量偏差不超过 2%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2E74B5"/>
              </w:rPr>
              <w:t xml:space="preserve">节省口径  </w:t>
            </w:r>
            <w:r>
              <w:rPr>
                <w:rFonts w:ascii="Calibri" w:hAnsi="Calibri" w:eastAsia="Microsoft YaHei"/>
                <w:color w:val="1F2937"/>
              </w:rPr>
              <w:t>P0 的确定性目标是：关闭性能采集时节省 782.90 MB；无控制流缓存需求时再消除或显著缩减固定 95.37 MB cacheData。总体 HBM 降幅应按场景分别报告，不能把共享项对每个算子重复累计。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交付计划与依赖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2200"/>
        <w:gridCol w:w="2900"/>
        <w:gridCol w:w="2360"/>
      </w:tblGrid>
      <w:tr>
        <w:trPr>
          <w:trHeight w:hRule="atLeast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主要交付物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退出条件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Phase 0：口径冻结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2026-08-10 前完成需求拆解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统一内存维度、基线脚本、硬件/模式矩阵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885 MB 口径疑点闭环；fwd/bwd 基线可复现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Phase 1：固定项治理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交付 MEM-001/002/003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perf 门控、CtrlflowCache 精确化、Eager RingBuffer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AC-01 至 AC-04 通过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Phase 2：统一池化与预算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交付 MEM-004/005/006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Torch 池化、预算报告、硬件 profile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AC-05/06 通过，A2/A3/A5 有明确策略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Phase 3：观测与调优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交付 MEM-007/008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Profiling 字段与调优 Skill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AC-07/08 通过，输出可行动建议</w:t>
            </w:r>
          </w:p>
        </w:tc>
      </w:tr>
    </w:tbl>
    <w:p>
      <w:pPr>
        <w:pStyle w:val="Heading2"/>
        <w:keepNext/>
      </w:pPr>
      <w:r>
        <w:t>9.1 关键依赖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Issue #2873：Host 侧控制流计算能力，决定 CtrlflowCache 是否能完全按实际结果分配。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Torch NPU 内存池：需要支持 PyPTO 标识透传和 RingBuffer/Workspace 统一生命周期。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Profiling 工具链：operator_memory、memory_record 与 ASCEND_PROFILER_OUTPUT 字段扩展。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硬件数据：A2/A3/A5 的 SlabAllocator、slot、dynamicCellMatch 样本与校准用例。</w:t>
      </w:r>
    </w:p>
    <w:p>
      <w:pPr>
        <w:pStyle w:val="Heading1"/>
        <w:keepNext/>
      </w:pPr>
      <w:r>
        <w:t>10. 风险与缓解措施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2600"/>
        <w:gridCol w:w="4260"/>
      </w:tblGrid>
      <w:tr>
        <w:trPr>
          <w:trHeight w:hRule="atLeast"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缓解措施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精确容量低估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越界、数据覆盖或运行失败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保守对齐、上界检查、兼容回退、压力测试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共享内存重复统计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错误判断优化收益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以生命周期为主键，共享项单列，不摊销或明确摊销规则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模式识别错误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Eager/ACLGraph 分配策略错配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模式显式传递并在启动时校验；日志打印最终策略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硬件模型漂移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新硬件估算失准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profile 版本化、未知硬件告警、持续校准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Profiling 标记开销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热路径性能回退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关闭时零/近零开销，结构化日志异步或仅调试启用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跨团队依赖延期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观测闭环晚于内存优化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P0 使用 PYPTO_MEM_LOG 独立验收，Profiling 作为 P1 并行推进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11. 待决策与待核实事项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性能缓冲的真实启用条件是什么：DUMP_DEVICE_PERF、独立开关，还是运行时采集请求？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生命周期汇总“约 885 MB”比列项总和多出的约 100 MB 属于哪一项？是否与 RingBuffer/metadata 重复？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Eager 下 CtrlflowCache 能否完全为 0；哪些控制流元数据仍需保留？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RingBuffer 纳入 Torch 池后，跨 Launch 复用与释放边界如何定义？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Host 预算和 Device 实际值的允许偏差阈值是否按组件设置，而非统一百分比？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A2/A3/A5 的硬件 profile 由谁维护，如何与 CANN 版本绑定？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Profiling 中进程级共享项如何展示：单独页签、算子引用，还是按规则摊销？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调优 Skill 的首版只做诊断建议，还是允许生成配置补丁？</w:t>
      </w:r>
    </w:p>
    <w:p>
      <w:pPr>
        <w:pStyle w:val="Heading1"/>
        <w:keepNext/>
      </w:pPr>
      <w:r>
        <w:t>12. 附录：关键实测数据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300"/>
        <w:gridCol w:w="2530"/>
        <w:gridCol w:w="2530"/>
      </w:tblGrid>
      <w:tr>
        <w:trPr>
          <w:trHeight w:hRule="atLeast"/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组成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GDR fwd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GDR bwd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tensor.Total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363.25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517.28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rootInnerSpilledMem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210.60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488.34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staticOutcast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136.62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25.00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aicoreSpilled.Total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19.49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2.34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workspaceSize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382.73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519.69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metadata.general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5.91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8.13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metadata.stitchPool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19.00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19.00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metadata.dynamicCellMatch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0.06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96.00 MB</w:t>
            </w:r>
          </w:p>
        </w:tc>
      </w:tr>
      <w:tr>
        <w:trPr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9"/>
              </w:rPr>
              <w:t>DevAscendProgram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96.55 MB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9"/>
              </w:rPr>
              <w:t>105.48 MB</w:t>
            </w:r>
          </w:p>
        </w:tc>
      </w:tr>
    </w:tbl>
    <w:p>
      <w:pPr>
        <w:pStyle w:val="Heading2"/>
        <w:keepNext/>
        <w:keepLines/>
      </w:pPr>
      <w:r>
        <w:t>12.1 来源</w:t>
      </w:r>
    </w:p>
    <w:p>
      <w:pPr>
        <w:keepLines/>
      </w:pPr>
      <w:r>
        <w:rPr>
          <w:rFonts w:ascii="Calibri" w:hAnsi="Calibri" w:eastAsia="Microsoft YaHei"/>
        </w:rPr>
        <w:t>[1] GitCode CANN/pypto Issue #2880：《[Requirement|需求建议]: 跟踪记录基于GDR算子的整网接入内存优化》，离线快照日期 2026-08-05。</w:t>
      </w:r>
    </w:p>
    <w:p>
      <w:pPr>
        <w:keepLines/>
      </w:pPr>
      <w:r>
        <w:rPr>
          <w:rFonts w:ascii="Calibri" w:hAnsi="Calibri" w:eastAsia="Microsoft YaHei"/>
        </w:rPr>
        <w:t>[2] Issue 评论中的《PyPTO Device 内存申请报告（最新代码版）》，报告日期 2026-08-05。</w:t>
      </w:r>
    </w:p>
    <w:p>
      <w:pPr>
        <w:keepLines/>
      </w:pPr>
      <w:r>
        <w:rPr>
          <w:rFonts w:ascii="Calibri" w:hAnsi="Calibri" w:eastAsia="Microsoft YaHei"/>
        </w:rPr>
        <w:t>[3] Issue 评论中的 Profiling 适配问题清单，包含 atten::empty 归因、Total Allocated 口径及 Input/Output 字段缺失。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PyPTO 产品设计文档</w:t>
    </w:r>
    <w:r>
      <w:rPr>
        <w:rFonts w:ascii="Calibri" w:hAnsi="Calibri" w:eastAsia="Microsoft YaHei"/>
        <w:color w:val="667085"/>
        <w:sz w:val="18"/>
      </w:rPr>
      <w:tab/>
      <w:t>V1.0 | 2026-08-05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PyPTO 基于 GDR 算子的整网接入内存优化 - 产品设计文档</dc:title>
  <dc:subject>Issue #2880 产品需求与技术方案整理</dc:subject>
  <dc:creator>PyPTO 产品与工程团队</dc:creator>
  <cp:keywords>PyPTO,GDR,内存优化,PRD,Profiling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