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73153">
      <w:pPr>
        <w:jc w:val="both"/>
        <w:rPr>
          <w:rFonts w:hint="eastAsia"/>
          <w:b/>
          <w:bCs/>
          <w:sz w:val="28"/>
          <w:szCs w:val="28"/>
          <w:lang w:val="en-US" w:eastAsia="zh-CN"/>
        </w:rPr>
      </w:pPr>
      <w:r>
        <w:rPr>
          <w:rFonts w:hint="eastAsia"/>
          <w:b/>
          <w:bCs/>
          <w:sz w:val="28"/>
          <w:szCs w:val="28"/>
          <w:lang w:val="en-US" w:eastAsia="zh-CN"/>
        </w:rPr>
        <w:t>发光二极管的正反向测量</w:t>
      </w:r>
    </w:p>
    <w:p w14:paraId="30DFE672">
      <w:pPr>
        <w:jc w:val="both"/>
        <w:rPr>
          <w:rFonts w:hint="eastAsia"/>
          <w:b/>
          <w:bCs/>
          <w:sz w:val="28"/>
          <w:szCs w:val="28"/>
          <w:lang w:val="en-US" w:eastAsia="zh-CN"/>
        </w:rPr>
      </w:pPr>
    </w:p>
    <w:p w14:paraId="66F973A1">
      <w:pPr>
        <w:jc w:val="both"/>
        <w:rPr>
          <w:rFonts w:hint="default"/>
          <w:b/>
          <w:bCs/>
          <w:sz w:val="24"/>
          <w:szCs w:val="24"/>
          <w:lang w:val="en-US" w:eastAsia="zh-CN"/>
        </w:rPr>
      </w:pPr>
      <w:r>
        <w:rPr>
          <w:rFonts w:hint="eastAsia"/>
          <w:b/>
          <w:bCs/>
          <w:sz w:val="24"/>
          <w:szCs w:val="24"/>
          <w:lang w:val="en-US" w:eastAsia="zh-CN"/>
        </w:rPr>
        <w:t>一、表格数据</w:t>
      </w:r>
    </w:p>
    <w:p w14:paraId="7FD4D336">
      <w:pPr>
        <w:jc w:val="both"/>
        <w:rPr>
          <w:rFonts w:hint="eastAsia"/>
          <w:vertAlign w:val="baseline"/>
          <w:lang w:val="en-US" w:eastAsia="zh-CN"/>
        </w:rPr>
      </w:pPr>
    </w:p>
    <w:tbl>
      <w:tblPr>
        <w:tblStyle w:val="3"/>
        <w:tblW w:w="0" w:type="auto"/>
        <w:tblInd w:w="-2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33"/>
        <w:gridCol w:w="947"/>
        <w:gridCol w:w="947"/>
        <w:gridCol w:w="947"/>
        <w:gridCol w:w="947"/>
        <w:gridCol w:w="947"/>
        <w:gridCol w:w="947"/>
        <w:gridCol w:w="947"/>
        <w:gridCol w:w="947"/>
      </w:tblGrid>
      <w:tr w14:paraId="27F1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3" w:type="dxa"/>
            <w:vMerge w:val="restart"/>
          </w:tcPr>
          <w:p w14:paraId="49972EB4">
            <w:pPr>
              <w:jc w:val="both"/>
              <w:rPr>
                <w:rFonts w:hint="default" w:eastAsiaTheme="minorEastAsia"/>
                <w:vertAlign w:val="baseline"/>
                <w:lang w:val="en-US" w:eastAsia="zh-CN"/>
              </w:rPr>
            </w:pPr>
            <w:r>
              <w:rPr>
                <w:rFonts w:hint="eastAsia"/>
                <w:vertAlign w:val="baseline"/>
                <w:lang w:val="en-US" w:eastAsia="zh-CN"/>
              </w:rPr>
              <w:t>正向连接</w:t>
            </w:r>
          </w:p>
        </w:tc>
        <w:tc>
          <w:tcPr>
            <w:tcW w:w="947" w:type="dxa"/>
          </w:tcPr>
          <w:p w14:paraId="4C8B61C6">
            <w:pPr>
              <w:jc w:val="both"/>
              <w:rPr>
                <w:rFonts w:hint="default" w:eastAsiaTheme="minorEastAsia"/>
                <w:vertAlign w:val="baseline"/>
                <w:lang w:val="en-US" w:eastAsia="zh-CN"/>
              </w:rPr>
            </w:pPr>
            <w:r>
              <w:rPr>
                <w:rFonts w:hint="eastAsia"/>
                <w:vertAlign w:val="baseline"/>
                <w:lang w:val="en-US" w:eastAsia="zh-CN"/>
              </w:rPr>
              <w:t>Id/mA</w:t>
            </w:r>
          </w:p>
        </w:tc>
        <w:tc>
          <w:tcPr>
            <w:tcW w:w="947" w:type="dxa"/>
          </w:tcPr>
          <w:p w14:paraId="67F76721">
            <w:pPr>
              <w:jc w:val="both"/>
              <w:rPr>
                <w:rFonts w:hint="eastAsia" w:eastAsiaTheme="minorEastAsia"/>
                <w:vertAlign w:val="baseline"/>
                <w:lang w:val="en-US" w:eastAsia="zh-CN"/>
              </w:rPr>
            </w:pPr>
            <w:r>
              <w:rPr>
                <w:rFonts w:hint="eastAsia"/>
                <w:vertAlign w:val="baseline"/>
                <w:lang w:val="en-US" w:eastAsia="zh-CN"/>
              </w:rPr>
              <w:t>0</w:t>
            </w:r>
          </w:p>
        </w:tc>
        <w:tc>
          <w:tcPr>
            <w:tcW w:w="947" w:type="dxa"/>
          </w:tcPr>
          <w:p w14:paraId="45313B43">
            <w:pPr>
              <w:jc w:val="both"/>
              <w:rPr>
                <w:rFonts w:hint="eastAsia" w:eastAsiaTheme="minorEastAsia"/>
                <w:vertAlign w:val="baseline"/>
                <w:lang w:val="en-US" w:eastAsia="zh-CN"/>
              </w:rPr>
            </w:pPr>
            <w:r>
              <w:rPr>
                <w:rFonts w:hint="eastAsia"/>
                <w:vertAlign w:val="baseline"/>
                <w:lang w:val="en-US" w:eastAsia="zh-CN"/>
              </w:rPr>
              <w:t>1</w:t>
            </w:r>
          </w:p>
        </w:tc>
        <w:tc>
          <w:tcPr>
            <w:tcW w:w="947" w:type="dxa"/>
          </w:tcPr>
          <w:p w14:paraId="24DE8589">
            <w:pPr>
              <w:jc w:val="both"/>
              <w:rPr>
                <w:rFonts w:hint="eastAsia" w:eastAsiaTheme="minorEastAsia"/>
                <w:vertAlign w:val="baseline"/>
                <w:lang w:eastAsia="zh-CN"/>
              </w:rPr>
            </w:pPr>
            <w:r>
              <w:rPr>
                <w:rFonts w:hint="eastAsia"/>
                <w:vertAlign w:val="baseline"/>
                <w:lang w:eastAsia="zh-CN"/>
              </w:rPr>
              <w:t>3</w:t>
            </w:r>
          </w:p>
        </w:tc>
        <w:tc>
          <w:tcPr>
            <w:tcW w:w="947" w:type="dxa"/>
          </w:tcPr>
          <w:p w14:paraId="3115801A">
            <w:pPr>
              <w:jc w:val="both"/>
              <w:rPr>
                <w:rFonts w:hint="eastAsia" w:eastAsiaTheme="minorEastAsia"/>
                <w:vertAlign w:val="baseline"/>
                <w:lang w:val="en-US" w:eastAsia="zh-CN"/>
              </w:rPr>
            </w:pPr>
            <w:r>
              <w:rPr>
                <w:rFonts w:hint="eastAsia"/>
                <w:vertAlign w:val="baseline"/>
                <w:lang w:val="en-US" w:eastAsia="zh-CN"/>
              </w:rPr>
              <w:t>5</w:t>
            </w:r>
          </w:p>
        </w:tc>
        <w:tc>
          <w:tcPr>
            <w:tcW w:w="947" w:type="dxa"/>
          </w:tcPr>
          <w:p w14:paraId="114E5DB8">
            <w:pPr>
              <w:jc w:val="both"/>
              <w:rPr>
                <w:rFonts w:hint="default" w:eastAsiaTheme="minorEastAsia"/>
                <w:vertAlign w:val="baseline"/>
                <w:lang w:val="en-US" w:eastAsia="zh-CN"/>
              </w:rPr>
            </w:pPr>
            <w:r>
              <w:rPr>
                <w:rFonts w:hint="eastAsia"/>
                <w:vertAlign w:val="baseline"/>
                <w:lang w:eastAsia="zh-CN"/>
              </w:rPr>
              <w:t>1</w:t>
            </w:r>
            <w:r>
              <w:rPr>
                <w:rFonts w:hint="eastAsia"/>
                <w:vertAlign w:val="baseline"/>
                <w:lang w:val="en-US" w:eastAsia="zh-CN"/>
              </w:rPr>
              <w:t>0</w:t>
            </w:r>
          </w:p>
        </w:tc>
        <w:tc>
          <w:tcPr>
            <w:tcW w:w="947" w:type="dxa"/>
          </w:tcPr>
          <w:p w14:paraId="33AEED50">
            <w:pPr>
              <w:jc w:val="both"/>
              <w:rPr>
                <w:rFonts w:hint="default" w:eastAsiaTheme="minorEastAsia"/>
                <w:vertAlign w:val="baseline"/>
                <w:lang w:val="en-US" w:eastAsia="zh-CN"/>
              </w:rPr>
            </w:pPr>
            <w:r>
              <w:rPr>
                <w:rFonts w:hint="eastAsia"/>
                <w:vertAlign w:val="baseline"/>
                <w:lang w:val="en-US" w:eastAsia="zh-CN"/>
              </w:rPr>
              <w:t>15</w:t>
            </w:r>
          </w:p>
        </w:tc>
        <w:tc>
          <w:tcPr>
            <w:tcW w:w="947" w:type="dxa"/>
          </w:tcPr>
          <w:p w14:paraId="4C43E2E3">
            <w:pPr>
              <w:jc w:val="both"/>
              <w:rPr>
                <w:rFonts w:hint="default" w:eastAsiaTheme="minorEastAsia"/>
                <w:vertAlign w:val="baseline"/>
                <w:lang w:val="en-US" w:eastAsia="zh-CN"/>
              </w:rPr>
            </w:pPr>
            <w:r>
              <w:rPr>
                <w:rFonts w:hint="eastAsia"/>
                <w:vertAlign w:val="baseline"/>
                <w:lang w:val="en-US" w:eastAsia="zh-CN"/>
              </w:rPr>
              <w:t>20</w:t>
            </w:r>
          </w:p>
        </w:tc>
      </w:tr>
      <w:tr w14:paraId="03D5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3" w:type="dxa"/>
            <w:vMerge w:val="continue"/>
            <w:tcBorders/>
          </w:tcPr>
          <w:p w14:paraId="435591F5">
            <w:pPr>
              <w:jc w:val="both"/>
              <w:rPr>
                <w:vertAlign w:val="baseline"/>
              </w:rPr>
            </w:pPr>
          </w:p>
        </w:tc>
        <w:tc>
          <w:tcPr>
            <w:tcW w:w="947" w:type="dxa"/>
          </w:tcPr>
          <w:p w14:paraId="47847E65">
            <w:pPr>
              <w:jc w:val="both"/>
              <w:rPr>
                <w:rFonts w:hint="default" w:eastAsiaTheme="minorEastAsia"/>
                <w:vertAlign w:val="baseline"/>
                <w:lang w:val="en-US" w:eastAsia="zh-CN"/>
              </w:rPr>
            </w:pPr>
            <w:r>
              <w:rPr>
                <w:rFonts w:hint="eastAsia"/>
                <w:vertAlign w:val="baseline"/>
                <w:lang w:val="en-US" w:eastAsia="zh-CN"/>
              </w:rPr>
              <w:t>Vd/V</w:t>
            </w:r>
          </w:p>
        </w:tc>
        <w:tc>
          <w:tcPr>
            <w:tcW w:w="947" w:type="dxa"/>
          </w:tcPr>
          <w:p w14:paraId="1407B6FB">
            <w:pPr>
              <w:jc w:val="both"/>
              <w:rPr>
                <w:rFonts w:hint="eastAsia" w:eastAsiaTheme="minorEastAsia"/>
                <w:vertAlign w:val="baseline"/>
                <w:lang w:val="en-US" w:eastAsia="zh-CN"/>
              </w:rPr>
            </w:pPr>
            <w:r>
              <w:rPr>
                <w:rFonts w:hint="eastAsia"/>
                <w:vertAlign w:val="baseline"/>
                <w:lang w:val="en-US" w:eastAsia="zh-CN"/>
              </w:rPr>
              <w:t>0</w:t>
            </w:r>
          </w:p>
        </w:tc>
        <w:tc>
          <w:tcPr>
            <w:tcW w:w="947" w:type="dxa"/>
          </w:tcPr>
          <w:p w14:paraId="51A53996">
            <w:pPr>
              <w:jc w:val="both"/>
              <w:rPr>
                <w:rFonts w:hint="default" w:eastAsiaTheme="minorEastAsia"/>
                <w:vertAlign w:val="baseline"/>
                <w:lang w:val="en-US" w:eastAsia="zh-CN"/>
              </w:rPr>
            </w:pPr>
            <w:r>
              <w:rPr>
                <w:rFonts w:hint="eastAsia"/>
                <w:vertAlign w:val="baseline"/>
                <w:lang w:val="en-US" w:eastAsia="zh-CN"/>
              </w:rPr>
              <w:t>1.7705</w:t>
            </w:r>
          </w:p>
        </w:tc>
        <w:tc>
          <w:tcPr>
            <w:tcW w:w="947" w:type="dxa"/>
          </w:tcPr>
          <w:p w14:paraId="6165BD20">
            <w:pPr>
              <w:jc w:val="both"/>
              <w:rPr>
                <w:rFonts w:hint="default" w:eastAsiaTheme="minorEastAsia"/>
                <w:vertAlign w:val="baseline"/>
                <w:lang w:val="en-US" w:eastAsia="zh-CN"/>
              </w:rPr>
            </w:pPr>
            <w:r>
              <w:rPr>
                <w:rFonts w:hint="eastAsia"/>
                <w:vertAlign w:val="baseline"/>
                <w:lang w:val="en-US" w:eastAsia="zh-CN"/>
              </w:rPr>
              <w:t>1.8259</w:t>
            </w:r>
          </w:p>
        </w:tc>
        <w:tc>
          <w:tcPr>
            <w:tcW w:w="947" w:type="dxa"/>
          </w:tcPr>
          <w:p w14:paraId="320BD6E3">
            <w:pPr>
              <w:jc w:val="both"/>
              <w:rPr>
                <w:rFonts w:hint="default" w:eastAsiaTheme="minorEastAsia"/>
                <w:vertAlign w:val="baseline"/>
                <w:lang w:val="en-US" w:eastAsia="zh-CN"/>
              </w:rPr>
            </w:pPr>
            <w:r>
              <w:rPr>
                <w:rFonts w:hint="eastAsia"/>
                <w:vertAlign w:val="baseline"/>
                <w:lang w:val="en-US" w:eastAsia="zh-CN"/>
              </w:rPr>
              <w:t>1.8578</w:t>
            </w:r>
          </w:p>
        </w:tc>
        <w:tc>
          <w:tcPr>
            <w:tcW w:w="947" w:type="dxa"/>
          </w:tcPr>
          <w:p w14:paraId="2F12CA68">
            <w:pPr>
              <w:jc w:val="both"/>
              <w:rPr>
                <w:rFonts w:hint="default" w:eastAsiaTheme="minorEastAsia"/>
                <w:vertAlign w:val="baseline"/>
                <w:lang w:val="en-US" w:eastAsia="zh-CN"/>
              </w:rPr>
            </w:pPr>
            <w:r>
              <w:rPr>
                <w:rFonts w:hint="eastAsia"/>
                <w:vertAlign w:val="baseline"/>
                <w:lang w:val="en-US" w:eastAsia="zh-CN"/>
              </w:rPr>
              <w:t>1.9101</w:t>
            </w:r>
          </w:p>
        </w:tc>
        <w:tc>
          <w:tcPr>
            <w:tcW w:w="947" w:type="dxa"/>
          </w:tcPr>
          <w:p w14:paraId="75305BB8">
            <w:pPr>
              <w:jc w:val="both"/>
              <w:rPr>
                <w:rFonts w:hint="default" w:eastAsiaTheme="minorEastAsia"/>
                <w:vertAlign w:val="baseline"/>
                <w:lang w:val="en-US" w:eastAsia="zh-CN"/>
              </w:rPr>
            </w:pPr>
            <w:r>
              <w:rPr>
                <w:rFonts w:hint="eastAsia"/>
                <w:vertAlign w:val="baseline"/>
                <w:lang w:val="en-US" w:eastAsia="zh-CN"/>
              </w:rPr>
              <w:t>1.9462</w:t>
            </w:r>
          </w:p>
        </w:tc>
        <w:tc>
          <w:tcPr>
            <w:tcW w:w="947" w:type="dxa"/>
          </w:tcPr>
          <w:p w14:paraId="568EA760">
            <w:pPr>
              <w:jc w:val="both"/>
              <w:rPr>
                <w:rFonts w:hint="default" w:eastAsiaTheme="minorEastAsia"/>
                <w:vertAlign w:val="baseline"/>
                <w:lang w:val="en-US" w:eastAsia="zh-CN"/>
              </w:rPr>
            </w:pPr>
            <w:r>
              <w:rPr>
                <w:rFonts w:hint="eastAsia"/>
                <w:vertAlign w:val="baseline"/>
                <w:lang w:val="en-US" w:eastAsia="zh-CN"/>
              </w:rPr>
              <w:t>1.9729</w:t>
            </w:r>
          </w:p>
        </w:tc>
      </w:tr>
      <w:tr w14:paraId="425E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3" w:type="dxa"/>
            <w:vMerge w:val="restart"/>
          </w:tcPr>
          <w:p w14:paraId="3B63C1C7">
            <w:pPr>
              <w:jc w:val="both"/>
              <w:rPr>
                <w:rFonts w:hint="eastAsia" w:eastAsiaTheme="minorEastAsia"/>
                <w:vertAlign w:val="baseline"/>
                <w:lang w:val="en-US" w:eastAsia="zh-CN"/>
              </w:rPr>
            </w:pPr>
            <w:r>
              <w:rPr>
                <w:rFonts w:hint="eastAsia"/>
                <w:vertAlign w:val="baseline"/>
                <w:lang w:val="en-US" w:eastAsia="zh-CN"/>
              </w:rPr>
              <w:t>反向连接</w:t>
            </w:r>
          </w:p>
        </w:tc>
        <w:tc>
          <w:tcPr>
            <w:tcW w:w="947" w:type="dxa"/>
          </w:tcPr>
          <w:p w14:paraId="7A21C487">
            <w:pPr>
              <w:jc w:val="both"/>
              <w:rPr>
                <w:vertAlign w:val="baseline"/>
              </w:rPr>
            </w:pPr>
            <w:r>
              <w:rPr>
                <w:rFonts w:hint="eastAsia"/>
                <w:vertAlign w:val="baseline"/>
                <w:lang w:val="en-US" w:eastAsia="zh-CN"/>
              </w:rPr>
              <w:t>Vd/V</w:t>
            </w:r>
          </w:p>
        </w:tc>
        <w:tc>
          <w:tcPr>
            <w:tcW w:w="947" w:type="dxa"/>
          </w:tcPr>
          <w:p w14:paraId="03F7CF9D">
            <w:pPr>
              <w:jc w:val="both"/>
              <w:rPr>
                <w:rFonts w:hint="eastAsia" w:eastAsiaTheme="minorEastAsia"/>
                <w:vertAlign w:val="baseline"/>
                <w:lang w:val="en-US" w:eastAsia="zh-CN"/>
              </w:rPr>
            </w:pPr>
            <w:r>
              <w:rPr>
                <w:rFonts w:hint="eastAsia"/>
                <w:vertAlign w:val="baseline"/>
                <w:lang w:val="en-US" w:eastAsia="zh-CN"/>
              </w:rPr>
              <w:t>0</w:t>
            </w:r>
          </w:p>
        </w:tc>
        <w:tc>
          <w:tcPr>
            <w:tcW w:w="947" w:type="dxa"/>
          </w:tcPr>
          <w:p w14:paraId="39DAC20B">
            <w:pPr>
              <w:jc w:val="both"/>
              <w:rPr>
                <w:rFonts w:hint="default" w:eastAsiaTheme="minorEastAsia"/>
                <w:vertAlign w:val="baseline"/>
                <w:lang w:val="en-US" w:eastAsia="zh-CN"/>
              </w:rPr>
            </w:pPr>
            <w:r>
              <w:rPr>
                <w:rFonts w:hint="eastAsia"/>
                <w:vertAlign w:val="baseline"/>
                <w:lang w:val="en-US" w:eastAsia="zh-CN"/>
              </w:rPr>
              <w:t>-1</w:t>
            </w:r>
          </w:p>
        </w:tc>
        <w:tc>
          <w:tcPr>
            <w:tcW w:w="947" w:type="dxa"/>
          </w:tcPr>
          <w:p w14:paraId="5C599423">
            <w:pPr>
              <w:jc w:val="both"/>
              <w:rPr>
                <w:rFonts w:hint="default" w:eastAsiaTheme="minorEastAsia"/>
                <w:vertAlign w:val="baseline"/>
                <w:lang w:val="en-US" w:eastAsia="zh-CN"/>
              </w:rPr>
            </w:pPr>
            <w:r>
              <w:rPr>
                <w:rFonts w:hint="eastAsia"/>
                <w:vertAlign w:val="baseline"/>
                <w:lang w:val="en-US" w:eastAsia="zh-CN"/>
              </w:rPr>
              <w:t>-2</w:t>
            </w:r>
          </w:p>
        </w:tc>
        <w:tc>
          <w:tcPr>
            <w:tcW w:w="947" w:type="dxa"/>
          </w:tcPr>
          <w:p w14:paraId="6C40E3ED">
            <w:pPr>
              <w:jc w:val="both"/>
              <w:rPr>
                <w:rFonts w:hint="default" w:eastAsiaTheme="minorEastAsia"/>
                <w:vertAlign w:val="baseline"/>
                <w:lang w:val="en-US" w:eastAsia="zh-CN"/>
              </w:rPr>
            </w:pPr>
            <w:r>
              <w:rPr>
                <w:rFonts w:hint="eastAsia"/>
                <w:vertAlign w:val="baseline"/>
                <w:lang w:val="en-US" w:eastAsia="zh-CN"/>
              </w:rPr>
              <w:t>-3</w:t>
            </w:r>
          </w:p>
        </w:tc>
        <w:tc>
          <w:tcPr>
            <w:tcW w:w="947" w:type="dxa"/>
          </w:tcPr>
          <w:p w14:paraId="2F47605C">
            <w:pPr>
              <w:jc w:val="both"/>
              <w:rPr>
                <w:rFonts w:hint="default" w:eastAsiaTheme="minorEastAsia"/>
                <w:vertAlign w:val="baseline"/>
                <w:lang w:val="en-US" w:eastAsia="zh-CN"/>
              </w:rPr>
            </w:pPr>
            <w:r>
              <w:rPr>
                <w:rFonts w:hint="eastAsia"/>
                <w:vertAlign w:val="baseline"/>
                <w:lang w:val="en-US" w:eastAsia="zh-CN"/>
              </w:rPr>
              <w:t>-5</w:t>
            </w:r>
          </w:p>
        </w:tc>
        <w:tc>
          <w:tcPr>
            <w:tcW w:w="947" w:type="dxa"/>
          </w:tcPr>
          <w:p w14:paraId="581E8D08">
            <w:pPr>
              <w:jc w:val="both"/>
              <w:rPr>
                <w:rFonts w:hint="default" w:eastAsiaTheme="minorEastAsia"/>
                <w:vertAlign w:val="baseline"/>
                <w:lang w:val="en-US" w:eastAsia="zh-CN"/>
              </w:rPr>
            </w:pPr>
            <w:r>
              <w:rPr>
                <w:rFonts w:hint="eastAsia"/>
                <w:vertAlign w:val="baseline"/>
                <w:lang w:val="en-US" w:eastAsia="zh-CN"/>
              </w:rPr>
              <w:t>-8</w:t>
            </w:r>
          </w:p>
        </w:tc>
        <w:tc>
          <w:tcPr>
            <w:tcW w:w="947" w:type="dxa"/>
          </w:tcPr>
          <w:p w14:paraId="72061D55">
            <w:pPr>
              <w:jc w:val="both"/>
              <w:rPr>
                <w:rFonts w:hint="default" w:eastAsiaTheme="minorEastAsia"/>
                <w:vertAlign w:val="baseline"/>
                <w:lang w:val="en-US" w:eastAsia="zh-CN"/>
              </w:rPr>
            </w:pPr>
            <w:r>
              <w:rPr>
                <w:rFonts w:hint="eastAsia"/>
                <w:vertAlign w:val="baseline"/>
                <w:lang w:val="en-US" w:eastAsia="zh-CN"/>
              </w:rPr>
              <w:t>-10</w:t>
            </w:r>
          </w:p>
        </w:tc>
      </w:tr>
      <w:tr w14:paraId="3B51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3" w:type="dxa"/>
            <w:vMerge w:val="continue"/>
            <w:tcBorders/>
          </w:tcPr>
          <w:p w14:paraId="2B8A2ADA">
            <w:pPr>
              <w:jc w:val="both"/>
              <w:rPr>
                <w:vertAlign w:val="baseline"/>
              </w:rPr>
            </w:pPr>
          </w:p>
        </w:tc>
        <w:tc>
          <w:tcPr>
            <w:tcW w:w="947" w:type="dxa"/>
          </w:tcPr>
          <w:p w14:paraId="67C38A6D">
            <w:pPr>
              <w:jc w:val="both"/>
              <w:rPr>
                <w:vertAlign w:val="baseline"/>
              </w:rPr>
            </w:pPr>
            <w:r>
              <w:rPr>
                <w:rFonts w:hint="eastAsia"/>
                <w:vertAlign w:val="baseline"/>
                <w:lang w:val="en-US" w:eastAsia="zh-CN"/>
              </w:rPr>
              <w:t>Id/μA</w:t>
            </w:r>
          </w:p>
        </w:tc>
        <w:tc>
          <w:tcPr>
            <w:tcW w:w="947" w:type="dxa"/>
          </w:tcPr>
          <w:p w14:paraId="02326B96">
            <w:pPr>
              <w:jc w:val="both"/>
              <w:rPr>
                <w:rFonts w:hint="eastAsia" w:eastAsiaTheme="minorEastAsia"/>
                <w:vertAlign w:val="baseline"/>
                <w:lang w:val="en-US" w:eastAsia="zh-CN"/>
              </w:rPr>
            </w:pPr>
            <w:r>
              <w:rPr>
                <w:rFonts w:hint="eastAsia"/>
                <w:vertAlign w:val="baseline"/>
                <w:lang w:val="en-US" w:eastAsia="zh-CN"/>
              </w:rPr>
              <w:t>0</w:t>
            </w:r>
          </w:p>
        </w:tc>
        <w:tc>
          <w:tcPr>
            <w:tcW w:w="947" w:type="dxa"/>
          </w:tcPr>
          <w:p w14:paraId="3563A608">
            <w:pPr>
              <w:jc w:val="both"/>
              <w:rPr>
                <w:rFonts w:hint="default" w:eastAsiaTheme="minorEastAsia"/>
                <w:vertAlign w:val="baseline"/>
                <w:lang w:val="en-US" w:eastAsia="zh-CN"/>
              </w:rPr>
            </w:pPr>
            <w:r>
              <w:rPr>
                <w:rFonts w:hint="eastAsia"/>
                <w:vertAlign w:val="baseline"/>
                <w:lang w:val="en-US" w:eastAsia="zh-CN"/>
              </w:rPr>
              <w:t>-0.002</w:t>
            </w:r>
          </w:p>
        </w:tc>
        <w:tc>
          <w:tcPr>
            <w:tcW w:w="947" w:type="dxa"/>
          </w:tcPr>
          <w:p w14:paraId="3B221F29">
            <w:pPr>
              <w:jc w:val="both"/>
              <w:rPr>
                <w:rFonts w:hint="default"/>
                <w:vertAlign w:val="baseline"/>
                <w:lang w:val="en-US"/>
              </w:rPr>
            </w:pPr>
            <w:r>
              <w:rPr>
                <w:rFonts w:hint="eastAsia"/>
                <w:vertAlign w:val="baseline"/>
                <w:lang w:val="en-US" w:eastAsia="zh-CN"/>
              </w:rPr>
              <w:t>-0.002</w:t>
            </w:r>
          </w:p>
        </w:tc>
        <w:tc>
          <w:tcPr>
            <w:tcW w:w="947" w:type="dxa"/>
          </w:tcPr>
          <w:p w14:paraId="09531CA6">
            <w:pPr>
              <w:jc w:val="both"/>
              <w:rPr>
                <w:vertAlign w:val="baseline"/>
              </w:rPr>
            </w:pPr>
            <w:r>
              <w:rPr>
                <w:rFonts w:hint="eastAsia"/>
                <w:vertAlign w:val="baseline"/>
                <w:lang w:val="en-US" w:eastAsia="zh-CN"/>
              </w:rPr>
              <w:t>-0.002</w:t>
            </w:r>
          </w:p>
        </w:tc>
        <w:tc>
          <w:tcPr>
            <w:tcW w:w="947" w:type="dxa"/>
          </w:tcPr>
          <w:p w14:paraId="10BCACE5">
            <w:pPr>
              <w:jc w:val="both"/>
              <w:rPr>
                <w:rFonts w:hint="default"/>
                <w:vertAlign w:val="baseline"/>
                <w:lang w:val="en-US"/>
              </w:rPr>
            </w:pPr>
            <w:r>
              <w:rPr>
                <w:rFonts w:hint="eastAsia"/>
                <w:vertAlign w:val="baseline"/>
                <w:lang w:val="en-US" w:eastAsia="zh-CN"/>
              </w:rPr>
              <w:t>-0.002</w:t>
            </w:r>
          </w:p>
        </w:tc>
        <w:tc>
          <w:tcPr>
            <w:tcW w:w="947" w:type="dxa"/>
          </w:tcPr>
          <w:p w14:paraId="77ED21D1">
            <w:pPr>
              <w:jc w:val="both"/>
              <w:rPr>
                <w:vertAlign w:val="baseline"/>
              </w:rPr>
            </w:pPr>
            <w:r>
              <w:rPr>
                <w:rFonts w:hint="eastAsia"/>
                <w:vertAlign w:val="baseline"/>
                <w:lang w:val="en-US" w:eastAsia="zh-CN"/>
              </w:rPr>
              <w:t>-0.002</w:t>
            </w:r>
          </w:p>
        </w:tc>
        <w:tc>
          <w:tcPr>
            <w:tcW w:w="947" w:type="dxa"/>
          </w:tcPr>
          <w:p w14:paraId="6A43F29F">
            <w:pPr>
              <w:jc w:val="both"/>
              <w:rPr>
                <w:vertAlign w:val="baseline"/>
              </w:rPr>
            </w:pPr>
            <w:r>
              <w:rPr>
                <w:rFonts w:hint="eastAsia"/>
                <w:vertAlign w:val="baseline"/>
                <w:lang w:val="en-US" w:eastAsia="zh-CN"/>
              </w:rPr>
              <w:t>-0.002</w:t>
            </w:r>
          </w:p>
        </w:tc>
      </w:tr>
    </w:tbl>
    <w:p w14:paraId="1B96795B">
      <w:pPr>
        <w:ind w:firstLine="2520" w:firstLineChars="1200"/>
        <w:jc w:val="both"/>
        <w:rPr>
          <w:rFonts w:hint="eastAsia"/>
          <w:lang w:val="en-US" w:eastAsia="zh-CN"/>
        </w:rPr>
      </w:pPr>
    </w:p>
    <w:p w14:paraId="5307330B">
      <w:pPr>
        <w:ind w:firstLine="2530" w:firstLineChars="1200"/>
        <w:jc w:val="both"/>
        <w:rPr>
          <w:rFonts w:hint="eastAsia"/>
          <w:b/>
          <w:bCs/>
          <w:lang w:val="en-US" w:eastAsia="zh-CN"/>
        </w:rPr>
      </w:pPr>
      <w:r>
        <w:rPr>
          <w:rFonts w:hint="eastAsia"/>
          <w:b/>
          <w:bCs/>
          <w:lang w:val="en-US" w:eastAsia="zh-CN"/>
        </w:rPr>
        <w:t>发光二极管的正反向测量</w:t>
      </w:r>
    </w:p>
    <w:p w14:paraId="2F722C95">
      <w:pPr>
        <w:ind w:firstLine="2530" w:firstLineChars="1200"/>
        <w:jc w:val="both"/>
        <w:rPr>
          <w:rFonts w:hint="eastAsia"/>
          <w:b/>
          <w:bCs/>
          <w:lang w:val="en-US" w:eastAsia="zh-CN"/>
        </w:rPr>
      </w:pPr>
    </w:p>
    <w:p w14:paraId="64CF6293">
      <w:pPr>
        <w:ind w:firstLine="2530" w:firstLineChars="1200"/>
        <w:jc w:val="both"/>
        <w:rPr>
          <w:rFonts w:hint="eastAsia"/>
          <w:b/>
          <w:bCs/>
          <w:lang w:val="en-US" w:eastAsia="zh-CN"/>
        </w:rPr>
      </w:pPr>
    </w:p>
    <w:p w14:paraId="5AE3C1A4">
      <w:pPr>
        <w:ind w:firstLine="2530" w:firstLineChars="1200"/>
        <w:jc w:val="both"/>
        <w:rPr>
          <w:rFonts w:hint="eastAsia"/>
          <w:b/>
          <w:bCs/>
          <w:lang w:val="en-US" w:eastAsia="zh-CN"/>
        </w:rPr>
      </w:pPr>
    </w:p>
    <w:p w14:paraId="07695F72">
      <w:pPr>
        <w:ind w:firstLine="2530" w:firstLineChars="1200"/>
        <w:jc w:val="both"/>
        <w:rPr>
          <w:rFonts w:hint="eastAsia"/>
          <w:b/>
          <w:bCs/>
          <w:lang w:val="en-US" w:eastAsia="zh-CN"/>
        </w:rPr>
      </w:pPr>
    </w:p>
    <w:p w14:paraId="11BB573C">
      <w:pPr>
        <w:ind w:firstLine="2530" w:firstLineChars="1200"/>
        <w:jc w:val="both"/>
        <w:rPr>
          <w:rFonts w:hint="eastAsia"/>
          <w:b/>
          <w:bCs/>
          <w:lang w:val="en-US" w:eastAsia="zh-CN"/>
        </w:rPr>
      </w:pPr>
    </w:p>
    <w:p w14:paraId="2BF9B9D0">
      <w:pPr>
        <w:jc w:val="both"/>
        <w:rPr>
          <w:rFonts w:hint="eastAsia"/>
          <w:b/>
          <w:bCs/>
          <w:sz w:val="24"/>
          <w:szCs w:val="24"/>
          <w:lang w:val="en-US" w:eastAsia="zh-CN"/>
        </w:rPr>
      </w:pPr>
      <w:r>
        <w:rPr>
          <w:rFonts w:hint="eastAsia"/>
          <w:b/>
          <w:bCs/>
          <w:sz w:val="24"/>
          <w:szCs w:val="24"/>
          <w:lang w:val="en-US" w:eastAsia="zh-CN"/>
        </w:rPr>
        <w:t>二、连接方式和经验总结</w:t>
      </w:r>
    </w:p>
    <w:p w14:paraId="0665DA69">
      <w:pPr>
        <w:jc w:val="center"/>
        <w:rPr>
          <w:rFonts w:hint="default"/>
          <w:b/>
          <w:bCs/>
          <w:lang w:val="en-US" w:eastAsia="zh-CN"/>
        </w:rPr>
      </w:pPr>
      <w:r>
        <w:rPr>
          <w:rFonts w:ascii="宋体" w:hAnsi="宋体" w:eastAsia="宋体" w:cs="宋体"/>
          <w:sz w:val="24"/>
          <w:szCs w:val="24"/>
        </w:rPr>
        <w:drawing>
          <wp:inline distT="0" distB="0" distL="114300" distR="114300">
            <wp:extent cx="4893310" cy="2733675"/>
            <wp:effectExtent l="0" t="0" r="8890" b="952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4"/>
                    <a:stretch>
                      <a:fillRect/>
                    </a:stretch>
                  </pic:blipFill>
                  <pic:spPr>
                    <a:xfrm rot="10800000" flipH="1" flipV="1">
                      <a:off x="0" y="0"/>
                      <a:ext cx="4893310" cy="2733675"/>
                    </a:xfrm>
                    <a:prstGeom prst="rect">
                      <a:avLst/>
                    </a:prstGeom>
                    <a:noFill/>
                    <a:ln w="9525">
                      <a:noFill/>
                    </a:ln>
                  </pic:spPr>
                </pic:pic>
              </a:graphicData>
            </a:graphic>
          </wp:inline>
        </w:drawing>
      </w:r>
    </w:p>
    <w:p w14:paraId="75465D18">
      <w:pPr>
        <w:jc w:val="both"/>
        <w:rPr>
          <w:rFonts w:hint="default"/>
          <w:b/>
          <w:bCs/>
          <w:lang w:val="en-US" w:eastAsia="zh-CN"/>
        </w:rPr>
      </w:pPr>
      <w:r>
        <w:rPr>
          <w:rFonts w:hint="eastAsia"/>
          <w:b/>
          <w:bCs/>
          <w:lang w:val="en-US" w:eastAsia="zh-CN"/>
        </w:rPr>
        <w:t>1）</w:t>
      </w:r>
      <w:r>
        <w:rPr>
          <w:rFonts w:hint="default"/>
          <w:b/>
          <w:bCs/>
          <w:lang w:val="en-US" w:eastAsia="zh-CN"/>
        </w:rPr>
        <w:t>图5.10(a)LED正向连接</w:t>
      </w:r>
    </w:p>
    <w:p w14:paraId="00D95438">
      <w:pPr>
        <w:jc w:val="both"/>
        <w:rPr>
          <w:rFonts w:hint="default"/>
          <w:b w:val="0"/>
          <w:bCs w:val="0"/>
          <w:lang w:val="en-US" w:eastAsia="zh-CN"/>
        </w:rPr>
      </w:pPr>
      <w:r>
        <w:rPr>
          <w:rFonts w:hint="default"/>
          <w:b w:val="0"/>
          <w:bCs w:val="0"/>
          <w:lang w:val="en-US" w:eastAsia="zh-CN"/>
        </w:rPr>
        <w:t>连接方式：</w:t>
      </w:r>
    </w:p>
    <w:p w14:paraId="48345FED">
      <w:pPr>
        <w:jc w:val="both"/>
        <w:rPr>
          <w:rFonts w:hint="default"/>
          <w:b w:val="0"/>
          <w:bCs w:val="0"/>
          <w:lang w:val="en-US" w:eastAsia="zh-CN"/>
        </w:rPr>
      </w:pPr>
      <w:r>
        <w:rPr>
          <w:rFonts w:hint="default"/>
          <w:b w:val="0"/>
          <w:bCs w:val="0"/>
          <w:lang w:val="en-US" w:eastAsia="zh-CN"/>
        </w:rPr>
        <w:t>电源Vs通过一个1kΩ的电阻R1连接到LED1。LED1的另一端连接到电压表V</w:t>
      </w:r>
      <w:r>
        <w:rPr>
          <w:rFonts w:hint="eastAsia"/>
          <w:b w:val="0"/>
          <w:bCs w:val="0"/>
          <w:lang w:val="en-US" w:eastAsia="zh-CN"/>
        </w:rPr>
        <w:t>。</w:t>
      </w:r>
      <w:r>
        <w:rPr>
          <w:rFonts w:hint="default"/>
          <w:b w:val="0"/>
          <w:bCs w:val="0"/>
          <w:lang w:val="en-US" w:eastAsia="zh-CN"/>
        </w:rPr>
        <w:t>电流表A串联在电路中，用于测量通过LED1的电流。</w:t>
      </w:r>
    </w:p>
    <w:p w14:paraId="1D40F92C">
      <w:pPr>
        <w:jc w:val="both"/>
        <w:rPr>
          <w:rFonts w:hint="default"/>
          <w:b w:val="0"/>
          <w:bCs w:val="0"/>
          <w:lang w:val="en-US" w:eastAsia="zh-CN"/>
        </w:rPr>
      </w:pPr>
      <w:r>
        <w:rPr>
          <w:rFonts w:hint="default"/>
          <w:b w:val="0"/>
          <w:bCs w:val="0"/>
          <w:lang w:val="en-US" w:eastAsia="zh-CN"/>
        </w:rPr>
        <w:t>经验总结：</w:t>
      </w:r>
    </w:p>
    <w:p w14:paraId="46756DC1">
      <w:pPr>
        <w:jc w:val="both"/>
        <w:rPr>
          <w:rFonts w:hint="default"/>
          <w:b w:val="0"/>
          <w:bCs w:val="0"/>
          <w:lang w:val="en-US" w:eastAsia="zh-CN"/>
        </w:rPr>
      </w:pPr>
      <w:r>
        <w:rPr>
          <w:rFonts w:hint="default"/>
          <w:b w:val="0"/>
          <w:bCs w:val="0"/>
          <w:lang w:val="en-US" w:eastAsia="zh-CN"/>
        </w:rPr>
        <w:t>在正向连接中，LED1会正常发光，因为电流方向是从正极到负极。电流表和电压表的读数可以帮助我们了解LED的工作状态。</w:t>
      </w:r>
    </w:p>
    <w:p w14:paraId="1242FD9A">
      <w:pPr>
        <w:jc w:val="both"/>
        <w:rPr>
          <w:rFonts w:hint="default"/>
          <w:b w:val="0"/>
          <w:bCs w:val="0"/>
          <w:lang w:val="en-US" w:eastAsia="zh-CN"/>
        </w:rPr>
      </w:pPr>
    </w:p>
    <w:p w14:paraId="3BD33031">
      <w:pPr>
        <w:jc w:val="both"/>
        <w:rPr>
          <w:rFonts w:hint="default"/>
          <w:b w:val="0"/>
          <w:bCs w:val="0"/>
          <w:lang w:val="en-US" w:eastAsia="zh-CN"/>
        </w:rPr>
      </w:pPr>
    </w:p>
    <w:p w14:paraId="05472418">
      <w:pPr>
        <w:jc w:val="both"/>
        <w:rPr>
          <w:rFonts w:hint="default"/>
          <w:b w:val="0"/>
          <w:bCs w:val="0"/>
          <w:lang w:val="en-US" w:eastAsia="zh-CN"/>
        </w:rPr>
      </w:pPr>
    </w:p>
    <w:p w14:paraId="63B4E93D">
      <w:pPr>
        <w:jc w:val="both"/>
        <w:rPr>
          <w:rFonts w:hint="default"/>
          <w:b w:val="0"/>
          <w:bCs w:val="0"/>
          <w:lang w:val="en-US" w:eastAsia="zh-CN"/>
        </w:rPr>
      </w:pPr>
    </w:p>
    <w:p w14:paraId="1E985379">
      <w:pPr>
        <w:jc w:val="both"/>
        <w:rPr>
          <w:rFonts w:hint="default"/>
          <w:b w:val="0"/>
          <w:bCs w:val="0"/>
          <w:lang w:val="en-US" w:eastAsia="zh-CN"/>
        </w:rPr>
      </w:pPr>
    </w:p>
    <w:p w14:paraId="4F316EFD">
      <w:pPr>
        <w:jc w:val="both"/>
        <w:rPr>
          <w:rFonts w:hint="default"/>
          <w:b w:val="0"/>
          <w:bCs w:val="0"/>
          <w:lang w:val="en-US" w:eastAsia="zh-CN"/>
        </w:rPr>
      </w:pPr>
    </w:p>
    <w:p w14:paraId="744CC9EC">
      <w:pPr>
        <w:jc w:val="both"/>
        <w:rPr>
          <w:rFonts w:hint="default"/>
          <w:b w:val="0"/>
          <w:bCs w:val="0"/>
          <w:lang w:val="en-US" w:eastAsia="zh-CN"/>
        </w:rPr>
      </w:pPr>
    </w:p>
    <w:p w14:paraId="47C04A88">
      <w:pPr>
        <w:jc w:val="both"/>
        <w:rPr>
          <w:rFonts w:hint="default"/>
          <w:b/>
          <w:bCs/>
          <w:lang w:val="en-US" w:eastAsia="zh-CN"/>
        </w:rPr>
      </w:pPr>
      <w:r>
        <w:rPr>
          <w:rFonts w:hint="eastAsia"/>
          <w:b/>
          <w:bCs/>
          <w:lang w:val="en-US" w:eastAsia="zh-CN"/>
        </w:rPr>
        <w:t>2）</w:t>
      </w:r>
      <w:r>
        <w:rPr>
          <w:rFonts w:hint="default"/>
          <w:b/>
          <w:bCs/>
          <w:lang w:val="en-US" w:eastAsia="zh-CN"/>
        </w:rPr>
        <w:t>图5.10(b)LED反向连接</w:t>
      </w:r>
    </w:p>
    <w:p w14:paraId="64FDDC53">
      <w:pPr>
        <w:jc w:val="both"/>
        <w:rPr>
          <w:rFonts w:hint="default"/>
          <w:b w:val="0"/>
          <w:bCs w:val="0"/>
          <w:lang w:val="en-US" w:eastAsia="zh-CN"/>
        </w:rPr>
      </w:pPr>
      <w:r>
        <w:rPr>
          <w:rFonts w:hint="default"/>
          <w:b w:val="0"/>
          <w:bCs w:val="0"/>
          <w:lang w:val="en-US" w:eastAsia="zh-CN"/>
        </w:rPr>
        <w:t>连接方式：</w:t>
      </w:r>
    </w:p>
    <w:p w14:paraId="5DFF0678">
      <w:pPr>
        <w:jc w:val="both"/>
        <w:rPr>
          <w:rFonts w:hint="default"/>
          <w:b w:val="0"/>
          <w:bCs w:val="0"/>
          <w:lang w:val="en-US" w:eastAsia="zh-CN"/>
        </w:rPr>
      </w:pPr>
      <w:r>
        <w:rPr>
          <w:rFonts w:hint="default"/>
          <w:b w:val="0"/>
          <w:bCs w:val="0"/>
          <w:lang w:val="en-US" w:eastAsia="zh-CN"/>
        </w:rPr>
        <w:t xml:space="preserve"> 电源Vs通过一个1kΩ的电阻R1连接到LED1。LED1的另一端连接到电压表V。电流表A串联在电路中，用于测量通过LED1的电流。</w:t>
      </w:r>
    </w:p>
    <w:p w14:paraId="65859D3A">
      <w:pPr>
        <w:jc w:val="both"/>
        <w:rPr>
          <w:rFonts w:hint="default"/>
          <w:b w:val="0"/>
          <w:bCs w:val="0"/>
          <w:lang w:val="en-US" w:eastAsia="zh-CN"/>
        </w:rPr>
      </w:pPr>
      <w:r>
        <w:rPr>
          <w:rFonts w:hint="default"/>
          <w:b w:val="0"/>
          <w:bCs w:val="0"/>
          <w:lang w:val="en-US" w:eastAsia="zh-CN"/>
        </w:rPr>
        <w:t xml:space="preserve">经验总结： </w:t>
      </w:r>
    </w:p>
    <w:p w14:paraId="0BCFBCFE">
      <w:pPr>
        <w:jc w:val="both"/>
        <w:rPr>
          <w:rFonts w:hint="default"/>
          <w:b w:val="0"/>
          <w:bCs w:val="0"/>
          <w:lang w:val="en-US" w:eastAsia="zh-CN"/>
        </w:rPr>
      </w:pPr>
      <w:r>
        <w:rPr>
          <w:rFonts w:hint="default"/>
          <w:b w:val="0"/>
          <w:bCs w:val="0"/>
          <w:lang w:val="en-US" w:eastAsia="zh-CN"/>
        </w:rPr>
        <w:t>在反向连接中，LED1不会发光，因为电流方向是从负极到正极。 电流表的读数会非常小，因为LED在反向偏置时几乎不导电。电压表的读数会接近电源电压，因为LED在反向偏置时表现为高阻抗。</w:t>
      </w:r>
    </w:p>
    <w:p w14:paraId="6BD35784">
      <w:pPr>
        <w:jc w:val="both"/>
        <w:rPr>
          <w:rFonts w:hint="eastAsia"/>
          <w:b/>
          <w:bCs/>
          <w:lang w:val="en-US" w:eastAsia="zh-CN"/>
        </w:rPr>
      </w:pPr>
      <w:r>
        <w:rPr>
          <w:rFonts w:hint="eastAsia"/>
          <w:b/>
          <w:bCs/>
          <w:lang w:val="en-US" w:eastAsia="zh-CN"/>
        </w:rPr>
        <w:t>总结：</w:t>
      </w:r>
    </w:p>
    <w:p w14:paraId="3868EBE3">
      <w:pPr>
        <w:numPr>
          <w:ilvl w:val="0"/>
          <w:numId w:val="0"/>
        </w:numPr>
        <w:jc w:val="both"/>
        <w:rPr>
          <w:rFonts w:hint="default"/>
          <w:b w:val="0"/>
          <w:bCs w:val="0"/>
          <w:sz w:val="21"/>
          <w:szCs w:val="21"/>
          <w:lang w:val="en-US" w:eastAsia="zh-CN"/>
        </w:rPr>
      </w:pPr>
      <w:r>
        <w:rPr>
          <w:rFonts w:hint="default"/>
          <w:b w:val="0"/>
          <w:bCs w:val="0"/>
          <w:sz w:val="21"/>
          <w:szCs w:val="21"/>
          <w:lang w:val="en-US" w:eastAsia="zh-CN"/>
        </w:rPr>
        <w:t>LED和稳压管的正反向特性：</w:t>
      </w:r>
    </w:p>
    <w:p w14:paraId="4C23CB5E">
      <w:pPr>
        <w:numPr>
          <w:ilvl w:val="0"/>
          <w:numId w:val="0"/>
        </w:numPr>
        <w:jc w:val="both"/>
        <w:rPr>
          <w:rFonts w:hint="default"/>
          <w:b w:val="0"/>
          <w:bCs w:val="0"/>
          <w:sz w:val="21"/>
          <w:szCs w:val="21"/>
          <w:lang w:val="en-US" w:eastAsia="zh-CN"/>
        </w:rPr>
      </w:pPr>
      <w:r>
        <w:rPr>
          <w:rFonts w:hint="default"/>
          <w:b w:val="0"/>
          <w:bCs w:val="0"/>
          <w:sz w:val="21"/>
          <w:szCs w:val="21"/>
          <w:lang w:val="en-US" w:eastAsia="zh-CN"/>
        </w:rPr>
        <w:t>LED在正向连接时会发光，反向连接时几乎不导电。</w:t>
      </w:r>
    </w:p>
    <w:p w14:paraId="3CCFDCF9">
      <w:pPr>
        <w:numPr>
          <w:ilvl w:val="0"/>
          <w:numId w:val="0"/>
        </w:numPr>
        <w:jc w:val="both"/>
        <w:rPr>
          <w:rFonts w:hint="default"/>
          <w:b w:val="0"/>
          <w:bCs w:val="0"/>
          <w:sz w:val="21"/>
          <w:szCs w:val="21"/>
          <w:lang w:val="en-US" w:eastAsia="zh-CN"/>
        </w:rPr>
      </w:pPr>
    </w:p>
    <w:p w14:paraId="1BB520F6">
      <w:pPr>
        <w:numPr>
          <w:ilvl w:val="0"/>
          <w:numId w:val="0"/>
        </w:numPr>
        <w:jc w:val="both"/>
        <w:rPr>
          <w:rFonts w:hint="default"/>
          <w:b w:val="0"/>
          <w:bCs w:val="0"/>
          <w:sz w:val="21"/>
          <w:szCs w:val="21"/>
          <w:lang w:val="en-US" w:eastAsia="zh-CN"/>
        </w:rPr>
      </w:pPr>
    </w:p>
    <w:p w14:paraId="2A7445F6">
      <w:pPr>
        <w:numPr>
          <w:ilvl w:val="0"/>
          <w:numId w:val="0"/>
        </w:numPr>
        <w:jc w:val="both"/>
        <w:rPr>
          <w:rFonts w:hint="default"/>
          <w:b w:val="0"/>
          <w:bCs w:val="0"/>
          <w:sz w:val="21"/>
          <w:szCs w:val="21"/>
          <w:lang w:val="en-US" w:eastAsia="zh-CN"/>
        </w:rPr>
      </w:pPr>
    </w:p>
    <w:p w14:paraId="3FA5DE95">
      <w:pPr>
        <w:numPr>
          <w:numId w:val="0"/>
        </w:numPr>
        <w:jc w:val="both"/>
        <w:rPr>
          <w:rFonts w:hint="eastAsia"/>
          <w:b/>
          <w:bCs/>
          <w:sz w:val="24"/>
          <w:szCs w:val="24"/>
          <w:lang w:val="en-US" w:eastAsia="zh-CN"/>
        </w:rPr>
      </w:pPr>
      <w:r>
        <w:rPr>
          <w:rFonts w:hint="eastAsia"/>
          <w:b/>
          <w:bCs/>
          <w:sz w:val="24"/>
          <w:szCs w:val="24"/>
          <w:lang w:val="en-US" w:eastAsia="zh-CN"/>
        </w:rPr>
        <w:t>三、实物电路拍照</w:t>
      </w:r>
    </w:p>
    <w:p w14:paraId="42AA4E7E">
      <w:pPr>
        <w:numPr>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24300" cy="2943225"/>
            <wp:effectExtent l="0" t="0" r="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3924300" cy="2943225"/>
                    </a:xfrm>
                    <a:prstGeom prst="rect">
                      <a:avLst/>
                    </a:prstGeom>
                    <a:noFill/>
                    <a:ln w="9525">
                      <a:noFill/>
                    </a:ln>
                  </pic:spPr>
                </pic:pic>
              </a:graphicData>
            </a:graphic>
          </wp:inline>
        </w:drawing>
      </w:r>
    </w:p>
    <w:p w14:paraId="6BFE3A37">
      <w:pPr>
        <w:numPr>
          <w:numId w:val="0"/>
        </w:num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正向</w:t>
      </w:r>
    </w:p>
    <w:p w14:paraId="60539026">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43985" cy="2988945"/>
            <wp:effectExtent l="0" t="0" r="5715"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flipV="1">
                      <a:off x="0" y="0"/>
                      <a:ext cx="3943985" cy="2988945"/>
                    </a:xfrm>
                    <a:prstGeom prst="rect">
                      <a:avLst/>
                    </a:prstGeom>
                    <a:noFill/>
                    <a:ln w="9525">
                      <a:noFill/>
                    </a:ln>
                  </pic:spPr>
                </pic:pic>
              </a:graphicData>
            </a:graphic>
          </wp:inline>
        </w:drawing>
      </w:r>
    </w:p>
    <w:p w14:paraId="0C4D52C8">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反向</w:t>
      </w:r>
    </w:p>
    <w:p w14:paraId="50AB7C48">
      <w:pPr>
        <w:jc w:val="center"/>
        <w:rPr>
          <w:rFonts w:hint="eastAsia" w:ascii="宋体" w:hAnsi="宋体" w:eastAsia="宋体" w:cs="宋体"/>
          <w:b/>
          <w:bCs/>
          <w:sz w:val="24"/>
          <w:szCs w:val="24"/>
          <w:lang w:val="en-US" w:eastAsia="zh-CN"/>
        </w:rPr>
      </w:pPr>
    </w:p>
    <w:p w14:paraId="479B0F7F">
      <w:pPr>
        <w:jc w:val="center"/>
        <w:rPr>
          <w:rFonts w:hint="eastAsia" w:ascii="宋体" w:hAnsi="宋体" w:eastAsia="宋体" w:cs="宋体"/>
          <w:b/>
          <w:bCs/>
          <w:sz w:val="24"/>
          <w:szCs w:val="24"/>
          <w:lang w:val="en-US" w:eastAsia="zh-CN"/>
        </w:rPr>
      </w:pPr>
    </w:p>
    <w:p w14:paraId="0DEB6754">
      <w:pPr>
        <w:jc w:val="center"/>
        <w:rPr>
          <w:rFonts w:hint="eastAsia" w:ascii="宋体" w:hAnsi="宋体" w:eastAsia="宋体" w:cs="宋体"/>
          <w:b/>
          <w:bCs/>
          <w:sz w:val="24"/>
          <w:szCs w:val="24"/>
          <w:lang w:val="en-US" w:eastAsia="zh-CN"/>
        </w:rPr>
      </w:pPr>
    </w:p>
    <w:p w14:paraId="268C33C1">
      <w:pPr>
        <w:jc w:val="center"/>
        <w:rPr>
          <w:rFonts w:hint="eastAsia" w:ascii="宋体" w:hAnsi="宋体" w:eastAsia="宋体" w:cs="宋体"/>
          <w:b/>
          <w:bCs/>
          <w:sz w:val="24"/>
          <w:szCs w:val="24"/>
          <w:lang w:val="en-US" w:eastAsia="zh-CN"/>
        </w:rPr>
      </w:pPr>
    </w:p>
    <w:p w14:paraId="2EAA8B5E">
      <w:pPr>
        <w:numPr>
          <w:ilvl w:val="0"/>
          <w:numId w:val="1"/>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伏安特性曲线</w:t>
      </w:r>
    </w:p>
    <w:p w14:paraId="357A5FA5">
      <w:pPr>
        <w:numPr>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77310" cy="2154555"/>
            <wp:effectExtent l="0" t="0" r="8890" b="444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7"/>
                    <a:stretch>
                      <a:fillRect/>
                    </a:stretch>
                  </pic:blipFill>
                  <pic:spPr>
                    <a:xfrm>
                      <a:off x="0" y="0"/>
                      <a:ext cx="3877310" cy="2154555"/>
                    </a:xfrm>
                    <a:prstGeom prst="rect">
                      <a:avLst/>
                    </a:prstGeom>
                    <a:noFill/>
                    <a:ln w="9525">
                      <a:noFill/>
                    </a:ln>
                  </pic:spPr>
                </pic:pic>
              </a:graphicData>
            </a:graphic>
          </wp:inline>
        </w:drawing>
      </w:r>
    </w:p>
    <w:p w14:paraId="4276A3ED">
      <w:pPr>
        <w:numPr>
          <w:numId w:val="0"/>
        </w:numPr>
        <w:jc w:val="center"/>
        <w:rPr>
          <w:rFonts w:ascii="宋体" w:hAnsi="宋体" w:eastAsia="宋体" w:cs="宋体"/>
          <w:sz w:val="24"/>
          <w:szCs w:val="24"/>
        </w:rPr>
      </w:pPr>
    </w:p>
    <w:p w14:paraId="72052D6F">
      <w:pPr>
        <w:numPr>
          <w:numId w:val="0"/>
        </w:numPr>
        <w:jc w:val="center"/>
        <w:rPr>
          <w:rFonts w:ascii="宋体" w:hAnsi="宋体" w:eastAsia="宋体" w:cs="宋体"/>
          <w:sz w:val="24"/>
          <w:szCs w:val="24"/>
        </w:rPr>
      </w:pPr>
    </w:p>
    <w:p w14:paraId="30F426E7">
      <w:pPr>
        <w:numPr>
          <w:numId w:val="0"/>
        </w:numPr>
        <w:jc w:val="center"/>
        <w:rPr>
          <w:rFonts w:ascii="宋体" w:hAnsi="宋体" w:eastAsia="宋体" w:cs="宋体"/>
          <w:sz w:val="24"/>
          <w:szCs w:val="24"/>
        </w:rPr>
      </w:pPr>
    </w:p>
    <w:p w14:paraId="52DA7CA9">
      <w:pPr>
        <w:numPr>
          <w:numId w:val="0"/>
        </w:numPr>
        <w:jc w:val="center"/>
        <w:rPr>
          <w:rFonts w:hint="eastAsia" w:ascii="宋体" w:hAnsi="宋体" w:eastAsia="宋体" w:cs="宋体"/>
          <w:sz w:val="24"/>
          <w:szCs w:val="24"/>
          <w:lang w:val="en-US" w:eastAsia="zh-CN"/>
        </w:rPr>
      </w:pPr>
    </w:p>
    <w:p w14:paraId="67D1FD4A">
      <w:pPr>
        <w:numPr>
          <w:numId w:val="0"/>
        </w:numPr>
        <w:ind w:leftChars="0"/>
        <w:jc w:val="both"/>
        <w:rPr>
          <w:rFonts w:hint="default" w:ascii="宋体" w:hAnsi="宋体" w:eastAsia="宋体" w:cs="宋体"/>
          <w:b/>
          <w:bCs/>
          <w:sz w:val="24"/>
          <w:szCs w:val="24"/>
          <w:lang w:val="en-US" w:eastAsia="zh-CN"/>
        </w:rPr>
      </w:pPr>
    </w:p>
    <w:p w14:paraId="38BB6D28">
      <w:pPr>
        <w:ind w:firstLine="2520" w:firstLineChars="1200"/>
        <w:jc w:val="both"/>
        <w:rPr>
          <w:rFonts w:hint="eastAsia"/>
          <w:lang w:val="en-US" w:eastAsia="zh-CN"/>
        </w:rPr>
      </w:pPr>
    </w:p>
    <w:p w14:paraId="7B53EFED">
      <w:pPr>
        <w:jc w:val="both"/>
        <w:rPr>
          <w:rFonts w:hint="eastAsia"/>
          <w:b/>
          <w:bCs/>
          <w:sz w:val="28"/>
          <w:szCs w:val="28"/>
          <w:lang w:val="en-US" w:eastAsia="zh-CN"/>
        </w:rPr>
      </w:pPr>
    </w:p>
    <w:p w14:paraId="5A25CD51">
      <w:pPr>
        <w:jc w:val="both"/>
        <w:rPr>
          <w:rFonts w:hint="eastAsia"/>
          <w:b/>
          <w:bCs/>
          <w:sz w:val="28"/>
          <w:szCs w:val="28"/>
          <w:lang w:val="en-US" w:eastAsia="zh-CN"/>
        </w:rPr>
      </w:pPr>
    </w:p>
    <w:p w14:paraId="5BBBD505">
      <w:pPr>
        <w:jc w:val="both"/>
        <w:rPr>
          <w:rFonts w:hint="eastAsia"/>
          <w:b/>
          <w:bCs/>
          <w:sz w:val="28"/>
          <w:szCs w:val="28"/>
          <w:lang w:val="en-US" w:eastAsia="zh-CN"/>
        </w:rPr>
      </w:pPr>
    </w:p>
    <w:p w14:paraId="259BBB72">
      <w:pPr>
        <w:jc w:val="both"/>
        <w:rPr>
          <w:rFonts w:hint="eastAsia"/>
          <w:b/>
          <w:bCs/>
          <w:sz w:val="28"/>
          <w:szCs w:val="28"/>
          <w:lang w:val="en-US" w:eastAsia="zh-CN"/>
        </w:rPr>
      </w:pPr>
    </w:p>
    <w:p w14:paraId="0B1F6444">
      <w:pPr>
        <w:jc w:val="both"/>
        <w:rPr>
          <w:rFonts w:hint="eastAsia"/>
          <w:b/>
          <w:bCs/>
          <w:sz w:val="28"/>
          <w:szCs w:val="28"/>
          <w:lang w:val="en-US" w:eastAsia="zh-CN"/>
        </w:rPr>
      </w:pPr>
      <w:r>
        <w:rPr>
          <w:rFonts w:hint="eastAsia"/>
          <w:b/>
          <w:bCs/>
          <w:sz w:val="28"/>
          <w:szCs w:val="28"/>
          <w:lang w:val="en-US" w:eastAsia="zh-CN"/>
        </w:rPr>
        <w:t>稳压二极管的正反向测量</w:t>
      </w:r>
    </w:p>
    <w:p w14:paraId="12424EA6">
      <w:pPr>
        <w:jc w:val="both"/>
        <w:rPr>
          <w:rFonts w:hint="eastAsia"/>
          <w:lang w:val="en-US" w:eastAsia="zh-CN"/>
        </w:rPr>
      </w:pPr>
      <w:r>
        <w:rPr>
          <w:rFonts w:hint="eastAsia"/>
          <w:b/>
          <w:bCs/>
          <w:sz w:val="24"/>
          <w:szCs w:val="24"/>
          <w:lang w:val="en-US" w:eastAsia="zh-CN"/>
        </w:rPr>
        <w:t>一、表格数据</w:t>
      </w:r>
    </w:p>
    <w:p w14:paraId="5FC60681">
      <w:pPr>
        <w:ind w:firstLine="2520" w:firstLineChars="1200"/>
        <w:jc w:val="both"/>
        <w:rPr>
          <w:rFonts w:hint="default"/>
          <w:lang w:val="en-US" w:eastAsia="zh-CN"/>
        </w:rPr>
      </w:pPr>
    </w:p>
    <w:tbl>
      <w:tblPr>
        <w:tblStyle w:val="3"/>
        <w:tblW w:w="0" w:type="auto"/>
        <w:tblInd w:w="-2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798"/>
        <w:gridCol w:w="565"/>
        <w:gridCol w:w="826"/>
        <w:gridCol w:w="972"/>
        <w:gridCol w:w="972"/>
        <w:gridCol w:w="972"/>
        <w:gridCol w:w="972"/>
        <w:gridCol w:w="972"/>
        <w:gridCol w:w="972"/>
      </w:tblGrid>
      <w:tr w14:paraId="07C38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vMerge w:val="restart"/>
          </w:tcPr>
          <w:p w14:paraId="388B1766">
            <w:pPr>
              <w:jc w:val="both"/>
              <w:rPr>
                <w:rFonts w:hint="default" w:eastAsiaTheme="minorEastAsia"/>
                <w:vertAlign w:val="baseline"/>
                <w:lang w:val="en-US" w:eastAsia="zh-CN"/>
              </w:rPr>
            </w:pPr>
            <w:r>
              <w:rPr>
                <w:rFonts w:hint="eastAsia"/>
                <w:vertAlign w:val="baseline"/>
                <w:lang w:val="en-US" w:eastAsia="zh-CN"/>
              </w:rPr>
              <w:t>正向连接</w:t>
            </w:r>
          </w:p>
        </w:tc>
        <w:tc>
          <w:tcPr>
            <w:tcW w:w="855" w:type="dxa"/>
          </w:tcPr>
          <w:p w14:paraId="64AF1D61">
            <w:pPr>
              <w:jc w:val="both"/>
              <w:rPr>
                <w:rFonts w:hint="default" w:eastAsiaTheme="minorEastAsia"/>
                <w:vertAlign w:val="baseline"/>
                <w:lang w:val="en-US" w:eastAsia="zh-CN"/>
              </w:rPr>
            </w:pPr>
            <w:r>
              <w:rPr>
                <w:rFonts w:hint="eastAsia"/>
                <w:vertAlign w:val="baseline"/>
                <w:lang w:val="en-US" w:eastAsia="zh-CN"/>
              </w:rPr>
              <w:t>Id/mA</w:t>
            </w:r>
          </w:p>
        </w:tc>
        <w:tc>
          <w:tcPr>
            <w:tcW w:w="855" w:type="dxa"/>
          </w:tcPr>
          <w:p w14:paraId="35ABCA1E">
            <w:pPr>
              <w:jc w:val="both"/>
              <w:rPr>
                <w:rFonts w:hint="eastAsia" w:eastAsiaTheme="minorEastAsia"/>
                <w:vertAlign w:val="baseline"/>
                <w:lang w:val="en-US" w:eastAsia="zh-CN"/>
              </w:rPr>
            </w:pPr>
            <w:r>
              <w:rPr>
                <w:rFonts w:hint="eastAsia"/>
                <w:vertAlign w:val="baseline"/>
                <w:lang w:val="en-US" w:eastAsia="zh-CN"/>
              </w:rPr>
              <w:t>0</w:t>
            </w:r>
          </w:p>
        </w:tc>
        <w:tc>
          <w:tcPr>
            <w:tcW w:w="855" w:type="dxa"/>
          </w:tcPr>
          <w:p w14:paraId="0543F0C3">
            <w:pPr>
              <w:jc w:val="both"/>
              <w:rPr>
                <w:rFonts w:hint="eastAsia" w:eastAsiaTheme="minorEastAsia"/>
                <w:vertAlign w:val="baseline"/>
                <w:lang w:val="en-US" w:eastAsia="zh-CN"/>
              </w:rPr>
            </w:pPr>
            <w:r>
              <w:rPr>
                <w:rFonts w:hint="eastAsia"/>
                <w:vertAlign w:val="baseline"/>
                <w:lang w:val="en-US" w:eastAsia="zh-CN"/>
              </w:rPr>
              <w:t>1</w:t>
            </w:r>
          </w:p>
        </w:tc>
        <w:tc>
          <w:tcPr>
            <w:tcW w:w="855" w:type="dxa"/>
          </w:tcPr>
          <w:p w14:paraId="6934822A">
            <w:pPr>
              <w:jc w:val="both"/>
              <w:rPr>
                <w:rFonts w:hint="default"/>
                <w:vertAlign w:val="baseline"/>
                <w:lang w:val="en-US" w:eastAsia="zh-CN"/>
              </w:rPr>
            </w:pPr>
            <w:r>
              <w:rPr>
                <w:rFonts w:hint="eastAsia"/>
                <w:vertAlign w:val="baseline"/>
                <w:lang w:val="en-US" w:eastAsia="zh-CN"/>
              </w:rPr>
              <w:t>2</w:t>
            </w:r>
          </w:p>
        </w:tc>
        <w:tc>
          <w:tcPr>
            <w:tcW w:w="855" w:type="dxa"/>
          </w:tcPr>
          <w:p w14:paraId="501064A3">
            <w:pPr>
              <w:jc w:val="both"/>
              <w:rPr>
                <w:rFonts w:hint="eastAsia" w:eastAsiaTheme="minorEastAsia"/>
                <w:vertAlign w:val="baseline"/>
                <w:lang w:eastAsia="zh-CN"/>
              </w:rPr>
            </w:pPr>
            <w:r>
              <w:rPr>
                <w:rFonts w:hint="eastAsia"/>
                <w:vertAlign w:val="baseline"/>
                <w:lang w:eastAsia="zh-CN"/>
              </w:rPr>
              <w:t>3</w:t>
            </w:r>
          </w:p>
        </w:tc>
        <w:tc>
          <w:tcPr>
            <w:tcW w:w="855" w:type="dxa"/>
          </w:tcPr>
          <w:p w14:paraId="7EF4A3D0">
            <w:pPr>
              <w:jc w:val="both"/>
              <w:rPr>
                <w:rFonts w:hint="eastAsia" w:eastAsiaTheme="minorEastAsia"/>
                <w:vertAlign w:val="baseline"/>
                <w:lang w:val="en-US" w:eastAsia="zh-CN"/>
              </w:rPr>
            </w:pPr>
            <w:r>
              <w:rPr>
                <w:rFonts w:hint="eastAsia"/>
                <w:vertAlign w:val="baseline"/>
                <w:lang w:val="en-US" w:eastAsia="zh-CN"/>
              </w:rPr>
              <w:t>5</w:t>
            </w:r>
          </w:p>
        </w:tc>
        <w:tc>
          <w:tcPr>
            <w:tcW w:w="855" w:type="dxa"/>
          </w:tcPr>
          <w:p w14:paraId="683B2AFC">
            <w:pPr>
              <w:jc w:val="both"/>
              <w:rPr>
                <w:rFonts w:hint="default" w:eastAsiaTheme="minorEastAsia"/>
                <w:vertAlign w:val="baseline"/>
                <w:lang w:val="en-US" w:eastAsia="zh-CN"/>
              </w:rPr>
            </w:pPr>
            <w:r>
              <w:rPr>
                <w:rFonts w:hint="eastAsia"/>
                <w:vertAlign w:val="baseline"/>
                <w:lang w:eastAsia="zh-CN"/>
              </w:rPr>
              <w:t>1</w:t>
            </w:r>
            <w:r>
              <w:rPr>
                <w:rFonts w:hint="eastAsia"/>
                <w:vertAlign w:val="baseline"/>
                <w:lang w:val="en-US" w:eastAsia="zh-CN"/>
              </w:rPr>
              <w:t>0</w:t>
            </w:r>
          </w:p>
        </w:tc>
        <w:tc>
          <w:tcPr>
            <w:tcW w:w="855" w:type="dxa"/>
          </w:tcPr>
          <w:p w14:paraId="412B68FF">
            <w:pPr>
              <w:jc w:val="both"/>
              <w:rPr>
                <w:rFonts w:hint="default" w:eastAsiaTheme="minorEastAsia"/>
                <w:vertAlign w:val="baseline"/>
                <w:lang w:val="en-US" w:eastAsia="zh-CN"/>
              </w:rPr>
            </w:pPr>
            <w:r>
              <w:rPr>
                <w:rFonts w:hint="eastAsia"/>
                <w:vertAlign w:val="baseline"/>
                <w:lang w:val="en-US" w:eastAsia="zh-CN"/>
              </w:rPr>
              <w:t>15</w:t>
            </w:r>
          </w:p>
        </w:tc>
        <w:tc>
          <w:tcPr>
            <w:tcW w:w="855" w:type="dxa"/>
          </w:tcPr>
          <w:p w14:paraId="6FE0C9BC">
            <w:pPr>
              <w:jc w:val="both"/>
              <w:rPr>
                <w:rFonts w:hint="default" w:eastAsiaTheme="minorEastAsia"/>
                <w:vertAlign w:val="baseline"/>
                <w:lang w:val="en-US" w:eastAsia="zh-CN"/>
              </w:rPr>
            </w:pPr>
            <w:r>
              <w:rPr>
                <w:rFonts w:hint="eastAsia"/>
                <w:vertAlign w:val="baseline"/>
                <w:lang w:val="en-US" w:eastAsia="zh-CN"/>
              </w:rPr>
              <w:t>20</w:t>
            </w:r>
          </w:p>
        </w:tc>
      </w:tr>
      <w:tr w14:paraId="14D7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vMerge w:val="continue"/>
          </w:tcPr>
          <w:p w14:paraId="18BD05B5">
            <w:pPr>
              <w:jc w:val="both"/>
              <w:rPr>
                <w:vertAlign w:val="baseline"/>
              </w:rPr>
            </w:pPr>
          </w:p>
        </w:tc>
        <w:tc>
          <w:tcPr>
            <w:tcW w:w="855" w:type="dxa"/>
          </w:tcPr>
          <w:p w14:paraId="156ED439">
            <w:pPr>
              <w:jc w:val="both"/>
              <w:rPr>
                <w:rFonts w:hint="default" w:eastAsiaTheme="minorEastAsia"/>
                <w:vertAlign w:val="baseline"/>
                <w:lang w:val="en-US" w:eastAsia="zh-CN"/>
              </w:rPr>
            </w:pPr>
            <w:r>
              <w:rPr>
                <w:rFonts w:hint="eastAsia"/>
                <w:vertAlign w:val="baseline"/>
                <w:lang w:val="en-US" w:eastAsia="zh-CN"/>
              </w:rPr>
              <w:t>Vd/V</w:t>
            </w:r>
          </w:p>
        </w:tc>
        <w:tc>
          <w:tcPr>
            <w:tcW w:w="855" w:type="dxa"/>
          </w:tcPr>
          <w:p w14:paraId="0C7B6B4C">
            <w:pPr>
              <w:jc w:val="both"/>
              <w:rPr>
                <w:rFonts w:hint="eastAsia" w:eastAsiaTheme="minorEastAsia"/>
                <w:vertAlign w:val="baseline"/>
                <w:lang w:val="en-US" w:eastAsia="zh-CN"/>
              </w:rPr>
            </w:pPr>
            <w:r>
              <w:rPr>
                <w:rFonts w:hint="eastAsia"/>
                <w:vertAlign w:val="baseline"/>
                <w:lang w:val="en-US" w:eastAsia="zh-CN"/>
              </w:rPr>
              <w:t>0</w:t>
            </w:r>
          </w:p>
        </w:tc>
        <w:tc>
          <w:tcPr>
            <w:tcW w:w="855" w:type="dxa"/>
          </w:tcPr>
          <w:p w14:paraId="4CEE59AA">
            <w:pPr>
              <w:jc w:val="both"/>
              <w:rPr>
                <w:rFonts w:hint="default" w:eastAsiaTheme="minorEastAsia"/>
                <w:vertAlign w:val="baseline"/>
                <w:lang w:val="en-US" w:eastAsia="zh-CN"/>
              </w:rPr>
            </w:pPr>
            <w:r>
              <w:rPr>
                <w:rFonts w:hint="eastAsia"/>
                <w:vertAlign w:val="baseline"/>
                <w:lang w:val="en-US" w:eastAsia="zh-CN"/>
              </w:rPr>
              <w:t>0.7219</w:t>
            </w:r>
          </w:p>
        </w:tc>
        <w:tc>
          <w:tcPr>
            <w:tcW w:w="855" w:type="dxa"/>
          </w:tcPr>
          <w:p w14:paraId="3E61062A">
            <w:pPr>
              <w:jc w:val="both"/>
              <w:rPr>
                <w:rFonts w:hint="default"/>
                <w:vertAlign w:val="baseline"/>
                <w:lang w:val="en-US" w:eastAsia="zh-CN"/>
              </w:rPr>
            </w:pPr>
            <w:r>
              <w:rPr>
                <w:rFonts w:hint="eastAsia"/>
                <w:vertAlign w:val="baseline"/>
                <w:lang w:val="en-US" w:eastAsia="zh-CN"/>
              </w:rPr>
              <w:t>0.7436</w:t>
            </w:r>
          </w:p>
        </w:tc>
        <w:tc>
          <w:tcPr>
            <w:tcW w:w="855" w:type="dxa"/>
          </w:tcPr>
          <w:p w14:paraId="02D55EC7">
            <w:pPr>
              <w:jc w:val="both"/>
              <w:rPr>
                <w:rFonts w:hint="default" w:eastAsiaTheme="minorEastAsia"/>
                <w:vertAlign w:val="baseline"/>
                <w:lang w:val="en-US" w:eastAsia="zh-CN"/>
              </w:rPr>
            </w:pPr>
            <w:r>
              <w:rPr>
                <w:rFonts w:hint="eastAsia"/>
                <w:vertAlign w:val="baseline"/>
                <w:lang w:val="en-US" w:eastAsia="zh-CN"/>
              </w:rPr>
              <w:t>0.7552</w:t>
            </w:r>
          </w:p>
        </w:tc>
        <w:tc>
          <w:tcPr>
            <w:tcW w:w="855" w:type="dxa"/>
          </w:tcPr>
          <w:p w14:paraId="2875529B">
            <w:pPr>
              <w:jc w:val="both"/>
              <w:rPr>
                <w:rFonts w:hint="default" w:eastAsiaTheme="minorEastAsia"/>
                <w:vertAlign w:val="baseline"/>
                <w:lang w:val="en-US" w:eastAsia="zh-CN"/>
              </w:rPr>
            </w:pPr>
            <w:r>
              <w:rPr>
                <w:rFonts w:hint="eastAsia"/>
                <w:vertAlign w:val="baseline"/>
                <w:lang w:val="en-US" w:eastAsia="zh-CN"/>
              </w:rPr>
              <w:t>0.7696</w:t>
            </w:r>
          </w:p>
        </w:tc>
        <w:tc>
          <w:tcPr>
            <w:tcW w:w="855" w:type="dxa"/>
          </w:tcPr>
          <w:p w14:paraId="067E16B2">
            <w:pPr>
              <w:jc w:val="both"/>
              <w:rPr>
                <w:rFonts w:hint="default" w:eastAsiaTheme="minorEastAsia"/>
                <w:vertAlign w:val="baseline"/>
                <w:lang w:val="en-US" w:eastAsia="zh-CN"/>
              </w:rPr>
            </w:pPr>
            <w:r>
              <w:rPr>
                <w:rFonts w:hint="eastAsia"/>
                <w:vertAlign w:val="baseline"/>
                <w:lang w:val="en-US" w:eastAsia="zh-CN"/>
              </w:rPr>
              <w:t>0.7894</w:t>
            </w:r>
          </w:p>
        </w:tc>
        <w:tc>
          <w:tcPr>
            <w:tcW w:w="855" w:type="dxa"/>
          </w:tcPr>
          <w:p w14:paraId="3EA9054A">
            <w:pPr>
              <w:jc w:val="both"/>
              <w:rPr>
                <w:rFonts w:hint="default" w:eastAsiaTheme="minorEastAsia"/>
                <w:vertAlign w:val="baseline"/>
                <w:lang w:val="en-US" w:eastAsia="zh-CN"/>
              </w:rPr>
            </w:pPr>
            <w:r>
              <w:rPr>
                <w:rFonts w:hint="eastAsia"/>
                <w:vertAlign w:val="baseline"/>
                <w:lang w:val="en-US" w:eastAsia="zh-CN"/>
              </w:rPr>
              <w:t>0.8006</w:t>
            </w:r>
          </w:p>
        </w:tc>
        <w:tc>
          <w:tcPr>
            <w:tcW w:w="855" w:type="dxa"/>
          </w:tcPr>
          <w:p w14:paraId="6AC3176B">
            <w:pPr>
              <w:jc w:val="both"/>
              <w:rPr>
                <w:rFonts w:hint="default" w:eastAsiaTheme="minorEastAsia"/>
                <w:vertAlign w:val="baseline"/>
                <w:lang w:val="en-US" w:eastAsia="zh-CN"/>
              </w:rPr>
            </w:pPr>
            <w:r>
              <w:rPr>
                <w:rFonts w:hint="eastAsia"/>
                <w:vertAlign w:val="baseline"/>
                <w:lang w:val="en-US" w:eastAsia="zh-CN"/>
              </w:rPr>
              <w:t>0.8082</w:t>
            </w:r>
          </w:p>
        </w:tc>
      </w:tr>
      <w:tr w14:paraId="2339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tcPr>
          <w:p w14:paraId="38158269">
            <w:pPr>
              <w:jc w:val="both"/>
              <w:rPr>
                <w:rFonts w:hint="default" w:eastAsiaTheme="minorEastAsia"/>
                <w:vertAlign w:val="baseline"/>
                <w:lang w:val="en-US" w:eastAsia="zh-CN"/>
              </w:rPr>
            </w:pPr>
            <w:r>
              <w:rPr>
                <w:rFonts w:hint="eastAsia"/>
                <w:vertAlign w:val="baseline"/>
                <w:lang w:val="en-US" w:eastAsia="zh-CN"/>
              </w:rPr>
              <w:t>R0/Ω</w:t>
            </w:r>
          </w:p>
        </w:tc>
        <w:tc>
          <w:tcPr>
            <w:tcW w:w="855" w:type="dxa"/>
          </w:tcPr>
          <w:p w14:paraId="46E3527C">
            <w:pPr>
              <w:jc w:val="both"/>
              <w:rPr>
                <w:rFonts w:hint="eastAsia"/>
                <w:vertAlign w:val="baseline"/>
                <w:lang w:val="en-US" w:eastAsia="zh-CN"/>
              </w:rPr>
            </w:pPr>
          </w:p>
        </w:tc>
        <w:tc>
          <w:tcPr>
            <w:tcW w:w="855" w:type="dxa"/>
          </w:tcPr>
          <w:p w14:paraId="7CBF42B8">
            <w:pPr>
              <w:jc w:val="both"/>
              <w:rPr>
                <w:rFonts w:hint="default"/>
                <w:vertAlign w:val="baseline"/>
                <w:lang w:val="en-US" w:eastAsia="zh-CN"/>
              </w:rPr>
            </w:pPr>
            <w:r>
              <w:rPr>
                <w:rFonts w:hint="eastAsia"/>
                <w:vertAlign w:val="baseline"/>
                <w:lang w:val="en-US" w:eastAsia="zh-CN"/>
              </w:rPr>
              <w:t>0</w:t>
            </w:r>
          </w:p>
        </w:tc>
        <w:tc>
          <w:tcPr>
            <w:tcW w:w="855" w:type="dxa"/>
          </w:tcPr>
          <w:p w14:paraId="2AA979C1">
            <w:pPr>
              <w:jc w:val="both"/>
              <w:rPr>
                <w:rFonts w:hint="default"/>
                <w:vertAlign w:val="baseline"/>
                <w:lang w:val="en-US" w:eastAsia="zh-CN"/>
              </w:rPr>
            </w:pPr>
            <w:r>
              <w:rPr>
                <w:rFonts w:hint="eastAsia"/>
                <w:vertAlign w:val="baseline"/>
                <w:lang w:val="en-US" w:eastAsia="zh-CN"/>
              </w:rPr>
              <w:t>0.7219</w:t>
            </w:r>
          </w:p>
        </w:tc>
        <w:tc>
          <w:tcPr>
            <w:tcW w:w="855" w:type="dxa"/>
          </w:tcPr>
          <w:p w14:paraId="652199B2">
            <w:pPr>
              <w:jc w:val="both"/>
              <w:rPr>
                <w:rFonts w:hint="default"/>
                <w:vertAlign w:val="baseline"/>
                <w:lang w:val="en-US" w:eastAsia="zh-CN"/>
              </w:rPr>
            </w:pPr>
            <w:r>
              <w:rPr>
                <w:rFonts w:hint="eastAsia"/>
                <w:vertAlign w:val="baseline"/>
                <w:lang w:val="en-US" w:eastAsia="zh-CN"/>
              </w:rPr>
              <w:t>371.8</w:t>
            </w:r>
          </w:p>
        </w:tc>
        <w:tc>
          <w:tcPr>
            <w:tcW w:w="855" w:type="dxa"/>
          </w:tcPr>
          <w:p w14:paraId="656F17DE">
            <w:pPr>
              <w:jc w:val="both"/>
              <w:rPr>
                <w:rFonts w:hint="default"/>
                <w:vertAlign w:val="baseline"/>
                <w:lang w:val="en-US" w:eastAsia="zh-CN"/>
              </w:rPr>
            </w:pPr>
            <w:r>
              <w:rPr>
                <w:rFonts w:hint="eastAsia"/>
                <w:vertAlign w:val="baseline"/>
                <w:lang w:val="en-US" w:eastAsia="zh-CN"/>
              </w:rPr>
              <w:t>371.8</w:t>
            </w:r>
          </w:p>
        </w:tc>
        <w:tc>
          <w:tcPr>
            <w:tcW w:w="855" w:type="dxa"/>
          </w:tcPr>
          <w:p w14:paraId="18BC1ADB">
            <w:pPr>
              <w:jc w:val="both"/>
              <w:rPr>
                <w:rFonts w:hint="default"/>
                <w:vertAlign w:val="baseline"/>
                <w:lang w:val="en-US" w:eastAsia="zh-CN"/>
              </w:rPr>
            </w:pPr>
            <w:r>
              <w:rPr>
                <w:rFonts w:hint="eastAsia"/>
                <w:vertAlign w:val="baseline"/>
                <w:lang w:val="en-US" w:eastAsia="zh-CN"/>
              </w:rPr>
              <w:t>251.7</w:t>
            </w:r>
          </w:p>
        </w:tc>
        <w:tc>
          <w:tcPr>
            <w:tcW w:w="855" w:type="dxa"/>
          </w:tcPr>
          <w:p w14:paraId="7C92B0CB">
            <w:pPr>
              <w:jc w:val="both"/>
              <w:rPr>
                <w:rFonts w:hint="default"/>
                <w:vertAlign w:val="baseline"/>
                <w:lang w:val="en-US" w:eastAsia="zh-CN"/>
              </w:rPr>
            </w:pPr>
            <w:r>
              <w:rPr>
                <w:rFonts w:hint="eastAsia"/>
                <w:vertAlign w:val="baseline"/>
                <w:lang w:val="en-US" w:eastAsia="zh-CN"/>
              </w:rPr>
              <w:t>153.9</w:t>
            </w:r>
          </w:p>
        </w:tc>
        <w:tc>
          <w:tcPr>
            <w:tcW w:w="855" w:type="dxa"/>
          </w:tcPr>
          <w:p w14:paraId="7164E9A4">
            <w:pPr>
              <w:jc w:val="both"/>
              <w:rPr>
                <w:rFonts w:hint="default"/>
                <w:vertAlign w:val="baseline"/>
                <w:lang w:val="en-US" w:eastAsia="zh-CN"/>
              </w:rPr>
            </w:pPr>
            <w:r>
              <w:rPr>
                <w:rFonts w:hint="eastAsia"/>
                <w:vertAlign w:val="baseline"/>
                <w:lang w:val="en-US" w:eastAsia="zh-CN"/>
              </w:rPr>
              <w:t>78.9</w:t>
            </w:r>
          </w:p>
        </w:tc>
        <w:tc>
          <w:tcPr>
            <w:tcW w:w="855" w:type="dxa"/>
          </w:tcPr>
          <w:p w14:paraId="4A95E13E">
            <w:pPr>
              <w:jc w:val="both"/>
              <w:rPr>
                <w:rFonts w:hint="default"/>
                <w:vertAlign w:val="baseline"/>
                <w:lang w:val="en-US" w:eastAsia="zh-CN"/>
              </w:rPr>
            </w:pPr>
            <w:r>
              <w:rPr>
                <w:rFonts w:hint="eastAsia"/>
                <w:vertAlign w:val="baseline"/>
                <w:lang w:val="en-US" w:eastAsia="zh-CN"/>
              </w:rPr>
              <w:t>40.4</w:t>
            </w:r>
          </w:p>
        </w:tc>
      </w:tr>
      <w:tr w14:paraId="29D9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vMerge w:val="restart"/>
          </w:tcPr>
          <w:p w14:paraId="08CFE94D">
            <w:pPr>
              <w:jc w:val="both"/>
              <w:rPr>
                <w:rFonts w:hint="eastAsia" w:eastAsiaTheme="minorEastAsia"/>
                <w:vertAlign w:val="baseline"/>
                <w:lang w:val="en-US" w:eastAsia="zh-CN"/>
              </w:rPr>
            </w:pPr>
            <w:r>
              <w:rPr>
                <w:rFonts w:hint="eastAsia"/>
                <w:vertAlign w:val="baseline"/>
                <w:lang w:val="en-US" w:eastAsia="zh-CN"/>
              </w:rPr>
              <w:t>反向连接</w:t>
            </w:r>
          </w:p>
        </w:tc>
        <w:tc>
          <w:tcPr>
            <w:tcW w:w="855" w:type="dxa"/>
          </w:tcPr>
          <w:p w14:paraId="69FF2AE9">
            <w:pPr>
              <w:jc w:val="both"/>
              <w:rPr>
                <w:vertAlign w:val="baseline"/>
              </w:rPr>
            </w:pPr>
            <w:r>
              <w:rPr>
                <w:rFonts w:hint="eastAsia"/>
                <w:vertAlign w:val="baseline"/>
                <w:lang w:val="en-US" w:eastAsia="zh-CN"/>
              </w:rPr>
              <w:t>Vd/V</w:t>
            </w:r>
          </w:p>
        </w:tc>
        <w:tc>
          <w:tcPr>
            <w:tcW w:w="855" w:type="dxa"/>
          </w:tcPr>
          <w:p w14:paraId="7CF6CBD3">
            <w:pPr>
              <w:jc w:val="both"/>
              <w:rPr>
                <w:rFonts w:hint="eastAsia" w:eastAsiaTheme="minorEastAsia"/>
                <w:vertAlign w:val="baseline"/>
                <w:lang w:val="en-US" w:eastAsia="zh-CN"/>
              </w:rPr>
            </w:pPr>
            <w:r>
              <w:rPr>
                <w:rFonts w:hint="eastAsia"/>
                <w:vertAlign w:val="baseline"/>
                <w:lang w:val="en-US" w:eastAsia="zh-CN"/>
              </w:rPr>
              <w:t>0</w:t>
            </w:r>
          </w:p>
        </w:tc>
        <w:tc>
          <w:tcPr>
            <w:tcW w:w="855" w:type="dxa"/>
          </w:tcPr>
          <w:p w14:paraId="468D9932">
            <w:pPr>
              <w:jc w:val="both"/>
              <w:rPr>
                <w:rFonts w:hint="default" w:eastAsiaTheme="minorEastAsia"/>
                <w:vertAlign w:val="baseline"/>
                <w:lang w:val="en-US" w:eastAsia="zh-CN"/>
              </w:rPr>
            </w:pPr>
            <w:r>
              <w:rPr>
                <w:rFonts w:hint="eastAsia"/>
                <w:vertAlign w:val="baseline"/>
                <w:lang w:val="en-US" w:eastAsia="zh-CN"/>
              </w:rPr>
              <w:t>-3</w:t>
            </w:r>
          </w:p>
        </w:tc>
        <w:tc>
          <w:tcPr>
            <w:tcW w:w="855" w:type="dxa"/>
          </w:tcPr>
          <w:p w14:paraId="27B12097">
            <w:pPr>
              <w:jc w:val="both"/>
              <w:rPr>
                <w:rFonts w:hint="default"/>
                <w:vertAlign w:val="baseline"/>
                <w:lang w:val="en-US" w:eastAsia="zh-CN"/>
              </w:rPr>
            </w:pPr>
            <w:r>
              <w:rPr>
                <w:rFonts w:hint="eastAsia"/>
                <w:vertAlign w:val="baseline"/>
                <w:lang w:val="en-US" w:eastAsia="zh-CN"/>
              </w:rPr>
              <w:t>-10.2453</w:t>
            </w:r>
          </w:p>
        </w:tc>
        <w:tc>
          <w:tcPr>
            <w:tcW w:w="855" w:type="dxa"/>
          </w:tcPr>
          <w:p w14:paraId="0586D523">
            <w:pPr>
              <w:jc w:val="both"/>
              <w:rPr>
                <w:rFonts w:hint="default" w:eastAsiaTheme="minorEastAsia"/>
                <w:vertAlign w:val="baseline"/>
                <w:lang w:val="en-US" w:eastAsia="zh-CN"/>
              </w:rPr>
            </w:pPr>
            <w:r>
              <w:rPr>
                <w:rFonts w:hint="eastAsia"/>
                <w:vertAlign w:val="baseline"/>
                <w:lang w:val="en-US" w:eastAsia="zh-CN"/>
              </w:rPr>
              <w:t>-10.3319</w:t>
            </w:r>
          </w:p>
        </w:tc>
        <w:tc>
          <w:tcPr>
            <w:tcW w:w="855" w:type="dxa"/>
          </w:tcPr>
          <w:p w14:paraId="759826BD">
            <w:pPr>
              <w:jc w:val="both"/>
              <w:rPr>
                <w:rFonts w:hint="default" w:eastAsiaTheme="minorEastAsia"/>
                <w:vertAlign w:val="baseline"/>
                <w:lang w:val="en-US" w:eastAsia="zh-CN"/>
              </w:rPr>
            </w:pPr>
            <w:r>
              <w:rPr>
                <w:rFonts w:hint="eastAsia"/>
                <w:vertAlign w:val="baseline"/>
                <w:lang w:val="en-US" w:eastAsia="zh-CN"/>
              </w:rPr>
              <w:t>-10.4039</w:t>
            </w:r>
          </w:p>
        </w:tc>
        <w:tc>
          <w:tcPr>
            <w:tcW w:w="855" w:type="dxa"/>
          </w:tcPr>
          <w:p w14:paraId="43B50F98">
            <w:pPr>
              <w:jc w:val="both"/>
              <w:rPr>
                <w:rFonts w:hint="default" w:eastAsiaTheme="minorEastAsia"/>
                <w:vertAlign w:val="baseline"/>
                <w:lang w:val="en-US" w:eastAsia="zh-CN"/>
              </w:rPr>
            </w:pPr>
            <w:r>
              <w:rPr>
                <w:rFonts w:hint="eastAsia"/>
                <w:vertAlign w:val="baseline"/>
                <w:lang w:val="en-US" w:eastAsia="zh-CN"/>
              </w:rPr>
              <w:t>-10.5016</w:t>
            </w:r>
          </w:p>
        </w:tc>
        <w:tc>
          <w:tcPr>
            <w:tcW w:w="855" w:type="dxa"/>
          </w:tcPr>
          <w:p w14:paraId="7FA5E6BB">
            <w:pPr>
              <w:jc w:val="both"/>
              <w:rPr>
                <w:rFonts w:hint="default" w:eastAsiaTheme="minorEastAsia"/>
                <w:vertAlign w:val="baseline"/>
                <w:lang w:val="en-US" w:eastAsia="zh-CN"/>
              </w:rPr>
            </w:pPr>
            <w:r>
              <w:rPr>
                <w:rFonts w:hint="eastAsia"/>
                <w:vertAlign w:val="baseline"/>
                <w:lang w:val="en-US" w:eastAsia="zh-CN"/>
              </w:rPr>
              <w:t>-10.5505</w:t>
            </w:r>
          </w:p>
        </w:tc>
        <w:tc>
          <w:tcPr>
            <w:tcW w:w="855" w:type="dxa"/>
          </w:tcPr>
          <w:p w14:paraId="2FD6D646">
            <w:pPr>
              <w:jc w:val="both"/>
              <w:rPr>
                <w:rFonts w:hint="default" w:eastAsiaTheme="minorEastAsia"/>
                <w:vertAlign w:val="baseline"/>
                <w:lang w:val="en-US" w:eastAsia="zh-CN"/>
              </w:rPr>
            </w:pPr>
            <w:r>
              <w:rPr>
                <w:rFonts w:hint="eastAsia"/>
                <w:vertAlign w:val="baseline"/>
                <w:lang w:val="en-US" w:eastAsia="zh-CN"/>
              </w:rPr>
              <w:t>-10.6875</w:t>
            </w:r>
          </w:p>
        </w:tc>
      </w:tr>
      <w:tr w14:paraId="25DE8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vMerge w:val="continue"/>
          </w:tcPr>
          <w:p w14:paraId="7486B93F">
            <w:pPr>
              <w:jc w:val="both"/>
              <w:rPr>
                <w:vertAlign w:val="baseline"/>
              </w:rPr>
            </w:pPr>
          </w:p>
        </w:tc>
        <w:tc>
          <w:tcPr>
            <w:tcW w:w="855" w:type="dxa"/>
          </w:tcPr>
          <w:p w14:paraId="637C4181">
            <w:pPr>
              <w:jc w:val="both"/>
              <w:rPr>
                <w:vertAlign w:val="baseline"/>
              </w:rPr>
            </w:pPr>
            <w:r>
              <w:rPr>
                <w:rFonts w:hint="eastAsia"/>
                <w:vertAlign w:val="baseline"/>
                <w:lang w:val="en-US" w:eastAsia="zh-CN"/>
              </w:rPr>
              <w:t>Id/μA</w:t>
            </w:r>
          </w:p>
        </w:tc>
        <w:tc>
          <w:tcPr>
            <w:tcW w:w="855" w:type="dxa"/>
          </w:tcPr>
          <w:p w14:paraId="47D12AE2">
            <w:pPr>
              <w:jc w:val="both"/>
              <w:rPr>
                <w:rFonts w:hint="eastAsia" w:eastAsiaTheme="minorEastAsia"/>
                <w:vertAlign w:val="baseline"/>
                <w:lang w:val="en-US" w:eastAsia="zh-CN"/>
              </w:rPr>
            </w:pPr>
            <w:r>
              <w:rPr>
                <w:rFonts w:hint="eastAsia"/>
                <w:vertAlign w:val="baseline"/>
                <w:lang w:val="en-US" w:eastAsia="zh-CN"/>
              </w:rPr>
              <w:t>0</w:t>
            </w:r>
          </w:p>
        </w:tc>
        <w:tc>
          <w:tcPr>
            <w:tcW w:w="855" w:type="dxa"/>
          </w:tcPr>
          <w:p w14:paraId="35205437">
            <w:pPr>
              <w:jc w:val="both"/>
              <w:rPr>
                <w:rFonts w:hint="default" w:eastAsiaTheme="minorEastAsia"/>
                <w:vertAlign w:val="baseline"/>
                <w:lang w:val="en-US" w:eastAsia="zh-CN"/>
              </w:rPr>
            </w:pPr>
            <w:r>
              <w:rPr>
                <w:rFonts w:hint="eastAsia"/>
                <w:vertAlign w:val="baseline"/>
                <w:lang w:val="en-US" w:eastAsia="zh-CN"/>
              </w:rPr>
              <w:t>0</w:t>
            </w:r>
          </w:p>
        </w:tc>
        <w:tc>
          <w:tcPr>
            <w:tcW w:w="855" w:type="dxa"/>
          </w:tcPr>
          <w:p w14:paraId="3031C1E5">
            <w:pPr>
              <w:jc w:val="both"/>
              <w:rPr>
                <w:rFonts w:hint="default"/>
                <w:vertAlign w:val="baseline"/>
                <w:lang w:val="en-US" w:eastAsia="zh-CN"/>
              </w:rPr>
            </w:pPr>
            <w:r>
              <w:rPr>
                <w:rFonts w:hint="eastAsia"/>
                <w:vertAlign w:val="baseline"/>
                <w:lang w:val="en-US" w:eastAsia="zh-CN"/>
              </w:rPr>
              <w:t>-1</w:t>
            </w:r>
          </w:p>
        </w:tc>
        <w:tc>
          <w:tcPr>
            <w:tcW w:w="855" w:type="dxa"/>
          </w:tcPr>
          <w:p w14:paraId="3FCB0D9E">
            <w:pPr>
              <w:jc w:val="both"/>
              <w:rPr>
                <w:rFonts w:hint="default"/>
                <w:vertAlign w:val="baseline"/>
                <w:lang w:val="en-US"/>
              </w:rPr>
            </w:pPr>
            <w:r>
              <w:rPr>
                <w:rFonts w:hint="eastAsia"/>
                <w:vertAlign w:val="baseline"/>
                <w:lang w:val="en-US" w:eastAsia="zh-CN"/>
              </w:rPr>
              <w:t>-3</w:t>
            </w:r>
          </w:p>
        </w:tc>
        <w:tc>
          <w:tcPr>
            <w:tcW w:w="855" w:type="dxa"/>
          </w:tcPr>
          <w:p w14:paraId="667F79A7">
            <w:pPr>
              <w:jc w:val="both"/>
              <w:rPr>
                <w:rFonts w:hint="default"/>
                <w:vertAlign w:val="baseline"/>
                <w:lang w:val="en-US"/>
              </w:rPr>
            </w:pPr>
            <w:r>
              <w:rPr>
                <w:rFonts w:hint="eastAsia"/>
                <w:vertAlign w:val="baseline"/>
                <w:lang w:val="en-US" w:eastAsia="zh-CN"/>
              </w:rPr>
              <w:t>-5</w:t>
            </w:r>
          </w:p>
        </w:tc>
        <w:tc>
          <w:tcPr>
            <w:tcW w:w="855" w:type="dxa"/>
          </w:tcPr>
          <w:p w14:paraId="08408520">
            <w:pPr>
              <w:jc w:val="both"/>
              <w:rPr>
                <w:rFonts w:hint="default"/>
                <w:vertAlign w:val="baseline"/>
                <w:lang w:val="en-US"/>
              </w:rPr>
            </w:pPr>
            <w:r>
              <w:rPr>
                <w:rFonts w:hint="eastAsia"/>
                <w:vertAlign w:val="baseline"/>
                <w:lang w:val="en-US" w:eastAsia="zh-CN"/>
              </w:rPr>
              <w:t>-8</w:t>
            </w:r>
          </w:p>
        </w:tc>
        <w:tc>
          <w:tcPr>
            <w:tcW w:w="855" w:type="dxa"/>
          </w:tcPr>
          <w:p w14:paraId="51A3FA39">
            <w:pPr>
              <w:jc w:val="both"/>
              <w:rPr>
                <w:rFonts w:hint="default"/>
                <w:vertAlign w:val="baseline"/>
                <w:lang w:val="en-US"/>
              </w:rPr>
            </w:pPr>
            <w:r>
              <w:rPr>
                <w:rFonts w:hint="eastAsia"/>
                <w:vertAlign w:val="baseline"/>
                <w:lang w:val="en-US" w:eastAsia="zh-CN"/>
              </w:rPr>
              <w:t>-10</w:t>
            </w:r>
          </w:p>
        </w:tc>
        <w:tc>
          <w:tcPr>
            <w:tcW w:w="855" w:type="dxa"/>
          </w:tcPr>
          <w:p w14:paraId="079D9FE8">
            <w:pPr>
              <w:jc w:val="both"/>
              <w:rPr>
                <w:rFonts w:hint="default"/>
                <w:vertAlign w:val="baseline"/>
                <w:lang w:val="en-US"/>
              </w:rPr>
            </w:pPr>
            <w:r>
              <w:rPr>
                <w:rFonts w:hint="eastAsia"/>
                <w:vertAlign w:val="baseline"/>
                <w:lang w:val="en-US" w:eastAsia="zh-CN"/>
              </w:rPr>
              <w:t>-15</w:t>
            </w:r>
          </w:p>
        </w:tc>
      </w:tr>
    </w:tbl>
    <w:p w14:paraId="7DAAE773">
      <w:pPr>
        <w:ind w:firstLine="2310" w:firstLineChars="1100"/>
        <w:jc w:val="both"/>
        <w:rPr>
          <w:rFonts w:hint="default"/>
          <w:lang w:val="en-US" w:eastAsia="zh-CN"/>
        </w:rPr>
      </w:pPr>
    </w:p>
    <w:p w14:paraId="582E09CD">
      <w:pPr>
        <w:ind w:firstLine="2319" w:firstLineChars="1100"/>
        <w:jc w:val="both"/>
        <w:rPr>
          <w:rFonts w:hint="eastAsia"/>
          <w:b/>
          <w:bCs/>
          <w:lang w:val="en-US" w:eastAsia="zh-CN"/>
        </w:rPr>
      </w:pPr>
      <w:r>
        <w:rPr>
          <w:rFonts w:hint="eastAsia"/>
          <w:b/>
          <w:bCs/>
          <w:lang w:val="en-US" w:eastAsia="zh-CN"/>
        </w:rPr>
        <w:t>稳压二极管的正反向测量</w:t>
      </w:r>
    </w:p>
    <w:p w14:paraId="06A3703E">
      <w:pPr>
        <w:ind w:firstLine="2319" w:firstLineChars="1100"/>
        <w:jc w:val="both"/>
        <w:rPr>
          <w:rFonts w:hint="eastAsia"/>
          <w:b/>
          <w:bCs/>
          <w:lang w:val="en-US" w:eastAsia="zh-CN"/>
        </w:rPr>
      </w:pPr>
    </w:p>
    <w:p w14:paraId="40038C75">
      <w:pPr>
        <w:jc w:val="both"/>
        <w:rPr>
          <w:rFonts w:hint="eastAsia"/>
          <w:b/>
          <w:bCs/>
          <w:lang w:val="en-US" w:eastAsia="zh-CN"/>
        </w:rPr>
      </w:pPr>
    </w:p>
    <w:p w14:paraId="6BD53B32">
      <w:pPr>
        <w:jc w:val="both"/>
        <w:rPr>
          <w:rFonts w:hint="eastAsia"/>
          <w:b/>
          <w:bCs/>
          <w:lang w:val="en-US" w:eastAsia="zh-CN"/>
        </w:rPr>
      </w:pPr>
    </w:p>
    <w:p w14:paraId="702DB35A">
      <w:pPr>
        <w:jc w:val="both"/>
        <w:rPr>
          <w:rFonts w:hint="eastAsia"/>
          <w:b/>
          <w:bCs/>
          <w:lang w:val="en-US" w:eastAsia="zh-CN"/>
        </w:rPr>
      </w:pPr>
    </w:p>
    <w:p w14:paraId="3E45B7A7">
      <w:pPr>
        <w:ind w:firstLine="2319" w:firstLineChars="1100"/>
        <w:jc w:val="both"/>
        <w:rPr>
          <w:rFonts w:hint="eastAsia"/>
          <w:b/>
          <w:bCs/>
          <w:lang w:val="en-US" w:eastAsia="zh-CN"/>
        </w:rPr>
      </w:pPr>
    </w:p>
    <w:p w14:paraId="361DFDE7">
      <w:pPr>
        <w:ind w:firstLine="2319" w:firstLineChars="1100"/>
        <w:jc w:val="both"/>
        <w:rPr>
          <w:rFonts w:hint="eastAsia"/>
          <w:b/>
          <w:bCs/>
          <w:lang w:val="en-US" w:eastAsia="zh-CN"/>
        </w:rPr>
      </w:pPr>
    </w:p>
    <w:p w14:paraId="51F02902">
      <w:pPr>
        <w:ind w:firstLine="2319" w:firstLineChars="1100"/>
        <w:jc w:val="both"/>
        <w:rPr>
          <w:rFonts w:hint="eastAsia"/>
          <w:b/>
          <w:bCs/>
          <w:lang w:val="en-US" w:eastAsia="zh-CN"/>
        </w:rPr>
      </w:pPr>
    </w:p>
    <w:p w14:paraId="6E8D6E43">
      <w:pPr>
        <w:numPr>
          <w:ilvl w:val="0"/>
          <w:numId w:val="2"/>
        </w:numPr>
        <w:jc w:val="both"/>
        <w:rPr>
          <w:rFonts w:hint="eastAsia"/>
          <w:b/>
          <w:bCs/>
          <w:sz w:val="24"/>
          <w:szCs w:val="24"/>
          <w:lang w:val="en-US" w:eastAsia="zh-CN"/>
        </w:rPr>
      </w:pPr>
      <w:r>
        <w:rPr>
          <w:rFonts w:hint="eastAsia"/>
          <w:b/>
          <w:bCs/>
          <w:sz w:val="24"/>
          <w:szCs w:val="24"/>
          <w:lang w:val="en-US" w:eastAsia="zh-CN"/>
        </w:rPr>
        <w:t>连接方式和经验总结</w:t>
      </w:r>
    </w:p>
    <w:p w14:paraId="5D1E4C44">
      <w:pPr>
        <w:numPr>
          <w:numId w:val="0"/>
        </w:numPr>
        <w:jc w:val="center"/>
        <w:rPr>
          <w:rFonts w:hint="eastAsia"/>
          <w:b/>
          <w:bCs/>
          <w:sz w:val="24"/>
          <w:szCs w:val="24"/>
          <w:lang w:val="en-US" w:eastAsia="zh-CN"/>
        </w:rPr>
      </w:pPr>
      <w:r>
        <w:rPr>
          <w:rFonts w:ascii="宋体" w:hAnsi="宋体" w:eastAsia="宋体" w:cs="宋体"/>
          <w:sz w:val="24"/>
          <w:szCs w:val="24"/>
        </w:rPr>
        <w:drawing>
          <wp:inline distT="0" distB="0" distL="114300" distR="114300">
            <wp:extent cx="3964305" cy="2180590"/>
            <wp:effectExtent l="0" t="0" r="10795" b="381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8"/>
                    <a:stretch>
                      <a:fillRect/>
                    </a:stretch>
                  </pic:blipFill>
                  <pic:spPr>
                    <a:xfrm>
                      <a:off x="0" y="0"/>
                      <a:ext cx="3964305" cy="2180590"/>
                    </a:xfrm>
                    <a:prstGeom prst="rect">
                      <a:avLst/>
                    </a:prstGeom>
                    <a:noFill/>
                    <a:ln w="9525">
                      <a:noFill/>
                    </a:ln>
                  </pic:spPr>
                </pic:pic>
              </a:graphicData>
            </a:graphic>
          </wp:inline>
        </w:drawing>
      </w:r>
    </w:p>
    <w:p w14:paraId="6CAF3352">
      <w:pPr>
        <w:numPr>
          <w:numId w:val="0"/>
        </w:numPr>
        <w:jc w:val="both"/>
        <w:rPr>
          <w:rFonts w:hint="default"/>
          <w:b w:val="0"/>
          <w:bCs w:val="0"/>
          <w:sz w:val="24"/>
          <w:szCs w:val="24"/>
          <w:lang w:val="en-US" w:eastAsia="zh-CN"/>
        </w:rPr>
      </w:pPr>
    </w:p>
    <w:p w14:paraId="4D94FB4D">
      <w:pPr>
        <w:numPr>
          <w:numId w:val="0"/>
        </w:numPr>
        <w:jc w:val="both"/>
        <w:rPr>
          <w:rFonts w:hint="default"/>
          <w:b/>
          <w:bCs/>
          <w:sz w:val="21"/>
          <w:szCs w:val="21"/>
          <w:lang w:val="en-US" w:eastAsia="zh-CN"/>
        </w:rPr>
      </w:pPr>
      <w:r>
        <w:rPr>
          <w:rFonts w:hint="default"/>
          <w:b/>
          <w:bCs/>
          <w:sz w:val="21"/>
          <w:szCs w:val="21"/>
          <w:lang w:val="en-US" w:eastAsia="zh-CN"/>
        </w:rPr>
        <w:t>图5.11(a)稳压管正向连接</w:t>
      </w:r>
    </w:p>
    <w:p w14:paraId="1CA494FA">
      <w:pPr>
        <w:numPr>
          <w:numId w:val="0"/>
        </w:numPr>
        <w:jc w:val="both"/>
        <w:rPr>
          <w:rFonts w:hint="default"/>
          <w:b w:val="0"/>
          <w:bCs w:val="0"/>
          <w:sz w:val="21"/>
          <w:szCs w:val="21"/>
          <w:lang w:val="en-US" w:eastAsia="zh-CN"/>
        </w:rPr>
      </w:pPr>
      <w:r>
        <w:rPr>
          <w:rFonts w:hint="default"/>
          <w:b w:val="0"/>
          <w:bCs w:val="0"/>
          <w:sz w:val="21"/>
          <w:szCs w:val="21"/>
          <w:lang w:val="en-US" w:eastAsia="zh-CN"/>
        </w:rPr>
        <w:t>连接方式：</w:t>
      </w:r>
    </w:p>
    <w:p w14:paraId="104F6315">
      <w:pPr>
        <w:numPr>
          <w:numId w:val="0"/>
        </w:numPr>
        <w:ind w:firstLine="210" w:firstLineChars="100"/>
        <w:jc w:val="both"/>
        <w:rPr>
          <w:rFonts w:hint="default"/>
          <w:b w:val="0"/>
          <w:bCs w:val="0"/>
          <w:sz w:val="21"/>
          <w:szCs w:val="21"/>
          <w:lang w:val="en-US" w:eastAsia="zh-CN"/>
        </w:rPr>
      </w:pPr>
      <w:r>
        <w:rPr>
          <w:rFonts w:hint="default"/>
          <w:b w:val="0"/>
          <w:bCs w:val="0"/>
          <w:sz w:val="21"/>
          <w:szCs w:val="21"/>
          <w:lang w:val="en-US" w:eastAsia="zh-CN"/>
        </w:rPr>
        <w:t xml:space="preserve"> 电源Vs通过一个1kΩ的电阻R1连接到稳压管VZ_1。 稳压管VZ_的另一端连接到电压表V。 电流表A串联在电路中，用于测量通过稳压管VZ_1的电流。</w:t>
      </w:r>
    </w:p>
    <w:p w14:paraId="2A2956A5">
      <w:pPr>
        <w:numPr>
          <w:numId w:val="0"/>
        </w:numPr>
        <w:jc w:val="both"/>
        <w:rPr>
          <w:rFonts w:hint="default"/>
          <w:b w:val="0"/>
          <w:bCs w:val="0"/>
          <w:sz w:val="21"/>
          <w:szCs w:val="21"/>
          <w:lang w:val="en-US" w:eastAsia="zh-CN"/>
        </w:rPr>
      </w:pPr>
      <w:r>
        <w:rPr>
          <w:rFonts w:hint="default"/>
          <w:b w:val="0"/>
          <w:bCs w:val="0"/>
          <w:sz w:val="21"/>
          <w:szCs w:val="21"/>
          <w:lang w:val="en-US" w:eastAsia="zh-CN"/>
        </w:rPr>
        <w:t>经验总结：</w:t>
      </w:r>
    </w:p>
    <w:p w14:paraId="2A8600A2">
      <w:pPr>
        <w:numPr>
          <w:numId w:val="0"/>
        </w:numPr>
        <w:ind w:firstLine="420" w:firstLineChars="200"/>
        <w:jc w:val="both"/>
        <w:rPr>
          <w:rFonts w:hint="default"/>
          <w:b w:val="0"/>
          <w:bCs w:val="0"/>
          <w:sz w:val="21"/>
          <w:szCs w:val="21"/>
          <w:lang w:val="en-US" w:eastAsia="zh-CN"/>
        </w:rPr>
      </w:pPr>
      <w:r>
        <w:rPr>
          <w:rFonts w:hint="default"/>
          <w:b w:val="0"/>
          <w:bCs w:val="0"/>
          <w:sz w:val="21"/>
          <w:szCs w:val="21"/>
          <w:lang w:val="en-US" w:eastAsia="zh-CN"/>
        </w:rPr>
        <w:t>在正向连接中，稳压管\(VZ_1\)会正常工作，电流表和电压表的读数可以帮助我们了解稳压管的工作状态。稳压管在正常工作时会保持其两端电压恒定，保护电路不受电压波动的影响。</w:t>
      </w:r>
    </w:p>
    <w:p w14:paraId="69DC1DBD">
      <w:pPr>
        <w:numPr>
          <w:numId w:val="0"/>
        </w:numPr>
        <w:jc w:val="both"/>
        <w:rPr>
          <w:rFonts w:hint="default"/>
          <w:b w:val="0"/>
          <w:bCs w:val="0"/>
          <w:sz w:val="21"/>
          <w:szCs w:val="21"/>
          <w:lang w:val="en-US" w:eastAsia="zh-CN"/>
        </w:rPr>
      </w:pPr>
    </w:p>
    <w:p w14:paraId="3BCB2EC2">
      <w:pPr>
        <w:numPr>
          <w:numId w:val="0"/>
        </w:numPr>
        <w:jc w:val="both"/>
        <w:rPr>
          <w:rFonts w:hint="default"/>
          <w:b/>
          <w:bCs/>
          <w:sz w:val="21"/>
          <w:szCs w:val="21"/>
          <w:lang w:val="en-US" w:eastAsia="zh-CN"/>
        </w:rPr>
      </w:pPr>
    </w:p>
    <w:p w14:paraId="369CD0B8">
      <w:pPr>
        <w:numPr>
          <w:numId w:val="0"/>
        </w:numPr>
        <w:jc w:val="both"/>
        <w:rPr>
          <w:rFonts w:hint="default"/>
          <w:b/>
          <w:bCs/>
          <w:sz w:val="21"/>
          <w:szCs w:val="21"/>
          <w:lang w:val="en-US" w:eastAsia="zh-CN"/>
        </w:rPr>
      </w:pPr>
      <w:r>
        <w:rPr>
          <w:rFonts w:hint="default"/>
          <w:b/>
          <w:bCs/>
          <w:sz w:val="21"/>
          <w:szCs w:val="21"/>
          <w:lang w:val="en-US" w:eastAsia="zh-CN"/>
        </w:rPr>
        <w:t>图5.11(b)稳压管反向连接</w:t>
      </w:r>
    </w:p>
    <w:p w14:paraId="11A8C811">
      <w:pPr>
        <w:numPr>
          <w:numId w:val="0"/>
        </w:numPr>
        <w:jc w:val="both"/>
        <w:rPr>
          <w:rFonts w:hint="default"/>
          <w:b w:val="0"/>
          <w:bCs w:val="0"/>
          <w:sz w:val="21"/>
          <w:szCs w:val="21"/>
          <w:lang w:val="en-US" w:eastAsia="zh-CN"/>
        </w:rPr>
      </w:pPr>
      <w:r>
        <w:rPr>
          <w:rFonts w:hint="default"/>
          <w:b w:val="0"/>
          <w:bCs w:val="0"/>
          <w:sz w:val="21"/>
          <w:szCs w:val="21"/>
          <w:lang w:val="en-US" w:eastAsia="zh-CN"/>
        </w:rPr>
        <w:t>连接方式：</w:t>
      </w:r>
    </w:p>
    <w:p w14:paraId="4BC24BAA">
      <w:pPr>
        <w:numPr>
          <w:numId w:val="0"/>
        </w:numPr>
        <w:ind w:firstLine="420" w:firstLineChars="200"/>
        <w:jc w:val="both"/>
        <w:rPr>
          <w:rFonts w:hint="default"/>
          <w:b w:val="0"/>
          <w:bCs w:val="0"/>
          <w:sz w:val="21"/>
          <w:szCs w:val="21"/>
          <w:lang w:val="en-US" w:eastAsia="zh-CN"/>
        </w:rPr>
      </w:pPr>
      <w:r>
        <w:rPr>
          <w:rFonts w:hint="default"/>
          <w:b w:val="0"/>
          <w:bCs w:val="0"/>
          <w:sz w:val="21"/>
          <w:szCs w:val="21"/>
          <w:lang w:val="en-US" w:eastAsia="zh-CN"/>
        </w:rPr>
        <w:t>电源V_s通过一个1kΩ的电阻R_1连接到稳压管VZ_1。稳压管VZ_1的另一端连接到电压表V。电流表A串联在电路中，用于测量通过稳压管VZ_1的电流。</w:t>
      </w:r>
    </w:p>
    <w:p w14:paraId="36067A4A">
      <w:pPr>
        <w:numPr>
          <w:numId w:val="0"/>
        </w:numPr>
        <w:jc w:val="both"/>
        <w:rPr>
          <w:rFonts w:hint="default"/>
          <w:b w:val="0"/>
          <w:bCs w:val="0"/>
          <w:sz w:val="21"/>
          <w:szCs w:val="21"/>
          <w:lang w:val="en-US" w:eastAsia="zh-CN"/>
        </w:rPr>
      </w:pPr>
      <w:r>
        <w:rPr>
          <w:rFonts w:hint="default"/>
          <w:b w:val="0"/>
          <w:bCs w:val="0"/>
          <w:sz w:val="21"/>
          <w:szCs w:val="21"/>
          <w:lang w:val="en-US" w:eastAsia="zh-CN"/>
        </w:rPr>
        <w:t>经验总结：</w:t>
      </w:r>
    </w:p>
    <w:p w14:paraId="183DB96B">
      <w:pPr>
        <w:numPr>
          <w:numId w:val="0"/>
        </w:numPr>
        <w:ind w:firstLine="420" w:firstLineChars="200"/>
        <w:jc w:val="both"/>
        <w:rPr>
          <w:rFonts w:hint="default"/>
          <w:b w:val="0"/>
          <w:bCs w:val="0"/>
          <w:sz w:val="21"/>
          <w:szCs w:val="21"/>
          <w:lang w:val="en-US" w:eastAsia="zh-CN"/>
        </w:rPr>
      </w:pPr>
      <w:r>
        <w:rPr>
          <w:rFonts w:hint="default"/>
          <w:b w:val="0"/>
          <w:bCs w:val="0"/>
          <w:sz w:val="21"/>
          <w:szCs w:val="21"/>
          <w:lang w:val="en-US" w:eastAsia="zh-CN"/>
        </w:rPr>
        <w:t>在反向连接中，稳压管\(VZ_1\)不会正常工作，电流表的读数会非常小，因为稳压管在反向偏置时几乎不导电。电压表的读数会接近电源电压，因为稳压管在反向偏置时表现为高阻抗。这种连接方式主要用于测试稳压管的反向特性。</w:t>
      </w:r>
    </w:p>
    <w:p w14:paraId="0007FBF0">
      <w:pPr>
        <w:numPr>
          <w:numId w:val="0"/>
        </w:numPr>
        <w:jc w:val="both"/>
        <w:rPr>
          <w:rFonts w:hint="default"/>
          <w:b/>
          <w:bCs/>
          <w:sz w:val="21"/>
          <w:szCs w:val="21"/>
          <w:lang w:val="en-US" w:eastAsia="zh-CN"/>
        </w:rPr>
      </w:pPr>
      <w:r>
        <w:rPr>
          <w:rFonts w:hint="default"/>
          <w:b/>
          <w:bCs/>
          <w:sz w:val="21"/>
          <w:szCs w:val="21"/>
          <w:lang w:val="en-US" w:eastAsia="zh-CN"/>
        </w:rPr>
        <w:t>总结</w:t>
      </w:r>
      <w:r>
        <w:rPr>
          <w:rFonts w:hint="eastAsia"/>
          <w:b/>
          <w:bCs/>
          <w:sz w:val="21"/>
          <w:szCs w:val="21"/>
          <w:lang w:val="en-US" w:eastAsia="zh-CN"/>
        </w:rPr>
        <w:t>：</w:t>
      </w:r>
    </w:p>
    <w:p w14:paraId="5A2FD74B">
      <w:pPr>
        <w:numPr>
          <w:numId w:val="0"/>
        </w:numPr>
        <w:jc w:val="both"/>
        <w:rPr>
          <w:rFonts w:hint="default"/>
          <w:b w:val="0"/>
          <w:bCs w:val="0"/>
          <w:sz w:val="21"/>
          <w:szCs w:val="21"/>
          <w:lang w:val="en-US" w:eastAsia="zh-CN"/>
        </w:rPr>
      </w:pPr>
      <w:r>
        <w:rPr>
          <w:rFonts w:hint="default"/>
          <w:b w:val="0"/>
          <w:bCs w:val="0"/>
          <w:sz w:val="21"/>
          <w:szCs w:val="21"/>
          <w:lang w:val="en-US" w:eastAsia="zh-CN"/>
        </w:rPr>
        <w:t xml:space="preserve"> 电路保护：稳压管在正常工作时会保持其两端电压恒定</w:t>
      </w:r>
    </w:p>
    <w:p w14:paraId="3564D731">
      <w:pPr>
        <w:numPr>
          <w:numId w:val="0"/>
        </w:numPr>
        <w:jc w:val="both"/>
        <w:rPr>
          <w:rFonts w:hint="default"/>
          <w:b w:val="0"/>
          <w:bCs w:val="0"/>
          <w:sz w:val="21"/>
          <w:szCs w:val="21"/>
          <w:lang w:val="en-US" w:eastAsia="zh-CN"/>
        </w:rPr>
      </w:pPr>
    </w:p>
    <w:p w14:paraId="0B757269">
      <w:pPr>
        <w:numPr>
          <w:numId w:val="0"/>
        </w:numPr>
        <w:jc w:val="both"/>
        <w:rPr>
          <w:rFonts w:hint="default"/>
          <w:b w:val="0"/>
          <w:bCs w:val="0"/>
          <w:sz w:val="21"/>
          <w:szCs w:val="21"/>
          <w:lang w:val="en-US" w:eastAsia="zh-CN"/>
        </w:rPr>
      </w:pPr>
    </w:p>
    <w:p w14:paraId="325CE99B">
      <w:pPr>
        <w:numPr>
          <w:numId w:val="0"/>
        </w:numPr>
        <w:jc w:val="both"/>
        <w:rPr>
          <w:rFonts w:hint="default"/>
          <w:b w:val="0"/>
          <w:bCs w:val="0"/>
          <w:sz w:val="24"/>
          <w:szCs w:val="24"/>
          <w:lang w:val="en-US" w:eastAsia="zh-CN"/>
        </w:rPr>
      </w:pPr>
    </w:p>
    <w:p w14:paraId="5146DEA2">
      <w:pPr>
        <w:numPr>
          <w:numId w:val="0"/>
        </w:numPr>
        <w:jc w:val="both"/>
        <w:rPr>
          <w:rFonts w:hint="default"/>
          <w:b w:val="0"/>
          <w:bCs w:val="0"/>
          <w:sz w:val="24"/>
          <w:szCs w:val="24"/>
          <w:lang w:val="en-US" w:eastAsia="zh-CN"/>
        </w:rPr>
      </w:pPr>
    </w:p>
    <w:p w14:paraId="0900D801">
      <w:pPr>
        <w:numPr>
          <w:numId w:val="0"/>
        </w:numPr>
        <w:ind w:leftChars="0"/>
        <w:jc w:val="left"/>
        <w:rPr>
          <w:rFonts w:hint="eastAsia"/>
          <w:b/>
          <w:bCs/>
          <w:sz w:val="24"/>
          <w:szCs w:val="24"/>
          <w:lang w:val="en-US" w:eastAsia="zh-CN"/>
        </w:rPr>
      </w:pPr>
      <w:r>
        <w:rPr>
          <w:rFonts w:hint="eastAsia"/>
          <w:b/>
          <w:bCs/>
          <w:sz w:val="24"/>
          <w:szCs w:val="24"/>
          <w:lang w:val="en-US" w:eastAsia="zh-CN"/>
        </w:rPr>
        <w:t>三、实物电路拍照</w:t>
      </w:r>
    </w:p>
    <w:p w14:paraId="2DCD1618">
      <w:pPr>
        <w:numPr>
          <w:numId w:val="0"/>
        </w:numPr>
        <w:ind w:left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51580" cy="2813685"/>
            <wp:effectExtent l="0" t="0" r="7620"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9"/>
                    <a:stretch>
                      <a:fillRect/>
                    </a:stretch>
                  </pic:blipFill>
                  <pic:spPr>
                    <a:xfrm>
                      <a:off x="0" y="0"/>
                      <a:ext cx="3751580" cy="2813685"/>
                    </a:xfrm>
                    <a:prstGeom prst="rect">
                      <a:avLst/>
                    </a:prstGeom>
                    <a:noFill/>
                    <a:ln w="9525">
                      <a:noFill/>
                    </a:ln>
                  </pic:spPr>
                </pic:pic>
              </a:graphicData>
            </a:graphic>
          </wp:inline>
        </w:drawing>
      </w:r>
    </w:p>
    <w:p w14:paraId="1F8CD617">
      <w:pPr>
        <w:numPr>
          <w:numId w:val="0"/>
        </w:numPr>
        <w:ind w:left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正向</w:t>
      </w:r>
    </w:p>
    <w:p w14:paraId="5531447A">
      <w:pPr>
        <w:numPr>
          <w:numId w:val="0"/>
        </w:numPr>
        <w:ind w:leftChars="0"/>
        <w:jc w:val="center"/>
        <w:rPr>
          <w:rFonts w:hint="eastAsia" w:ascii="宋体" w:hAnsi="宋体" w:eastAsia="宋体" w:cs="宋体"/>
          <w:b/>
          <w:bCs/>
          <w:sz w:val="24"/>
          <w:szCs w:val="24"/>
          <w:lang w:val="en-US" w:eastAsia="zh-CN"/>
        </w:rPr>
      </w:pPr>
    </w:p>
    <w:p w14:paraId="283D9DA0">
      <w:pPr>
        <w:numPr>
          <w:numId w:val="0"/>
        </w:numPr>
        <w:ind w:left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546350" cy="3716655"/>
            <wp:effectExtent l="0" t="0" r="4445" b="635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0"/>
                    <a:stretch>
                      <a:fillRect/>
                    </a:stretch>
                  </pic:blipFill>
                  <pic:spPr>
                    <a:xfrm rot="5400000">
                      <a:off x="0" y="0"/>
                      <a:ext cx="2546350" cy="3716655"/>
                    </a:xfrm>
                    <a:prstGeom prst="rect">
                      <a:avLst/>
                    </a:prstGeom>
                    <a:noFill/>
                    <a:ln w="9525">
                      <a:noFill/>
                    </a:ln>
                  </pic:spPr>
                </pic:pic>
              </a:graphicData>
            </a:graphic>
          </wp:inline>
        </w:drawing>
      </w:r>
    </w:p>
    <w:p w14:paraId="2262E4B6">
      <w:pPr>
        <w:numPr>
          <w:numId w:val="0"/>
        </w:numPr>
        <w:ind w:left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反向</w:t>
      </w:r>
    </w:p>
    <w:p w14:paraId="633C1FDF">
      <w:pPr>
        <w:numPr>
          <w:numId w:val="0"/>
        </w:numPr>
        <w:ind w:leftChars="0"/>
        <w:jc w:val="center"/>
        <w:rPr>
          <w:rFonts w:hint="eastAsia" w:ascii="宋体" w:hAnsi="宋体" w:eastAsia="宋体" w:cs="宋体"/>
          <w:b/>
          <w:bCs/>
          <w:sz w:val="24"/>
          <w:szCs w:val="24"/>
          <w:lang w:val="en-US" w:eastAsia="zh-CN"/>
        </w:rPr>
      </w:pPr>
    </w:p>
    <w:p w14:paraId="782A24B5">
      <w:pPr>
        <w:numPr>
          <w:numId w:val="0"/>
        </w:numPr>
        <w:ind w:leftChars="0"/>
        <w:jc w:val="center"/>
        <w:rPr>
          <w:rFonts w:hint="eastAsia" w:ascii="宋体" w:hAnsi="宋体" w:eastAsia="宋体" w:cs="宋体"/>
          <w:b/>
          <w:bCs/>
          <w:sz w:val="24"/>
          <w:szCs w:val="24"/>
          <w:lang w:val="en-US" w:eastAsia="zh-CN"/>
        </w:rPr>
      </w:pPr>
    </w:p>
    <w:p w14:paraId="64E4E85D">
      <w:pPr>
        <w:numPr>
          <w:numId w:val="0"/>
        </w:numPr>
        <w:ind w:leftChars="0"/>
        <w:jc w:val="center"/>
        <w:rPr>
          <w:rFonts w:hint="eastAsia" w:ascii="宋体" w:hAnsi="宋体" w:eastAsia="宋体" w:cs="宋体"/>
          <w:b/>
          <w:bCs/>
          <w:sz w:val="24"/>
          <w:szCs w:val="24"/>
          <w:lang w:val="en-US" w:eastAsia="zh-CN"/>
        </w:rPr>
      </w:pPr>
    </w:p>
    <w:p w14:paraId="148DF8DC">
      <w:pPr>
        <w:numPr>
          <w:ilvl w:val="0"/>
          <w:numId w:val="2"/>
        </w:numPr>
        <w:ind w:left="0" w:leftChars="0" w:firstLine="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伏安特性曲线</w:t>
      </w:r>
    </w:p>
    <w:p w14:paraId="1B6CC150">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30090" cy="3288030"/>
            <wp:effectExtent l="0" t="0" r="3810" b="127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1"/>
                    <a:stretch>
                      <a:fillRect/>
                    </a:stretch>
                  </pic:blipFill>
                  <pic:spPr>
                    <a:xfrm>
                      <a:off x="0" y="0"/>
                      <a:ext cx="4530090" cy="3288030"/>
                    </a:xfrm>
                    <a:prstGeom prst="rect">
                      <a:avLst/>
                    </a:prstGeom>
                    <a:noFill/>
                    <a:ln w="9525">
                      <a:noFill/>
                    </a:ln>
                  </pic:spPr>
                </pic:pic>
              </a:graphicData>
            </a:graphic>
          </wp:inline>
        </w:drawing>
      </w:r>
    </w:p>
    <w:p w14:paraId="7E0366DA">
      <w:pPr>
        <w:jc w:val="center"/>
        <w:rPr>
          <w:rFonts w:hint="eastAsia"/>
          <w:lang w:val="en-US" w:eastAsia="zh-CN"/>
        </w:rPr>
      </w:pPr>
    </w:p>
    <w:p w14:paraId="3B8BB891">
      <w:pPr>
        <w:jc w:val="left"/>
        <w:rPr>
          <w:rFonts w:hint="eastAsia"/>
          <w:b/>
          <w:bCs/>
          <w:sz w:val="28"/>
          <w:szCs w:val="28"/>
          <w:lang w:val="en-US" w:eastAsia="zh-CN"/>
        </w:rPr>
      </w:pPr>
    </w:p>
    <w:p w14:paraId="3424994A">
      <w:pPr>
        <w:jc w:val="left"/>
        <w:rPr>
          <w:rFonts w:hint="eastAsia"/>
          <w:b/>
          <w:bCs/>
          <w:sz w:val="28"/>
          <w:szCs w:val="28"/>
          <w:lang w:val="en-US" w:eastAsia="zh-CN"/>
        </w:rPr>
      </w:pPr>
    </w:p>
    <w:p w14:paraId="294831D8">
      <w:pPr>
        <w:jc w:val="left"/>
        <w:rPr>
          <w:rFonts w:hint="eastAsia"/>
          <w:b/>
          <w:bCs/>
          <w:sz w:val="28"/>
          <w:szCs w:val="28"/>
          <w:lang w:val="en-US" w:eastAsia="zh-CN"/>
        </w:rPr>
      </w:pPr>
    </w:p>
    <w:p w14:paraId="1DB415B3">
      <w:pPr>
        <w:jc w:val="left"/>
        <w:rPr>
          <w:rFonts w:hint="eastAsia"/>
          <w:b/>
          <w:bCs/>
          <w:sz w:val="28"/>
          <w:szCs w:val="28"/>
          <w:lang w:val="en-US" w:eastAsia="zh-CN"/>
        </w:rPr>
      </w:pPr>
    </w:p>
    <w:p w14:paraId="3961AA70">
      <w:pPr>
        <w:jc w:val="left"/>
        <w:rPr>
          <w:rFonts w:hint="eastAsia"/>
          <w:b/>
          <w:bCs/>
          <w:sz w:val="28"/>
          <w:szCs w:val="28"/>
          <w:lang w:val="en-US" w:eastAsia="zh-CN"/>
        </w:rPr>
      </w:pPr>
      <w:bookmarkStart w:id="0" w:name="_GoBack"/>
      <w:bookmarkEnd w:id="0"/>
      <w:r>
        <w:rPr>
          <w:rFonts w:hint="eastAsia"/>
          <w:b/>
          <w:bCs/>
          <w:sz w:val="28"/>
          <w:szCs w:val="28"/>
          <w:lang w:val="en-US" w:eastAsia="zh-CN"/>
        </w:rPr>
        <w:t>思考题：</w:t>
      </w:r>
    </w:p>
    <w:p w14:paraId="5DCA51A5">
      <w:pPr>
        <w:jc w:val="left"/>
        <w:rPr>
          <w:rFonts w:hint="eastAsia"/>
          <w:lang w:val="en-US" w:eastAsia="zh-CN"/>
        </w:rPr>
      </w:pPr>
      <w:r>
        <w:rPr>
          <w:rFonts w:hint="eastAsia"/>
          <w:lang w:val="en-US" w:eastAsia="zh-CN"/>
        </w:rPr>
        <w:t>电流表的内接和外接对电路的影响主要体现在测量精度和电路负载上。</w:t>
      </w:r>
    </w:p>
    <w:p w14:paraId="75DEABB4">
      <w:pPr>
        <w:jc w:val="left"/>
        <w:rPr>
          <w:rFonts w:hint="eastAsia"/>
          <w:b/>
          <w:bCs/>
          <w:lang w:val="en-US" w:eastAsia="zh-CN"/>
        </w:rPr>
      </w:pPr>
      <w:r>
        <w:rPr>
          <w:rFonts w:hint="eastAsia"/>
          <w:b/>
          <w:bCs/>
          <w:lang w:val="en-US" w:eastAsia="zh-CN"/>
        </w:rPr>
        <w:t>1.电流表内接法</w:t>
      </w:r>
    </w:p>
    <w:p w14:paraId="1095B5C8">
      <w:pPr>
        <w:jc w:val="left"/>
        <w:rPr>
          <w:rFonts w:hint="eastAsia"/>
          <w:lang w:val="en-US" w:eastAsia="zh-CN"/>
        </w:rPr>
      </w:pPr>
      <w:r>
        <w:rPr>
          <w:rFonts w:hint="eastAsia"/>
          <w:lang w:val="en-US" w:eastAsia="zh-CN"/>
        </w:rPr>
        <w:t>定义：电流表与负载串联，测量通过负载的电流。</w:t>
      </w:r>
    </w:p>
    <w:p w14:paraId="2DC9D5D6">
      <w:pPr>
        <w:jc w:val="left"/>
        <w:rPr>
          <w:rFonts w:hint="eastAsia"/>
          <w:lang w:val="en-US" w:eastAsia="zh-CN"/>
        </w:rPr>
      </w:pPr>
      <w:r>
        <w:rPr>
          <w:rFonts w:hint="eastAsia"/>
          <w:lang w:val="en-US" w:eastAsia="zh-CN"/>
        </w:rPr>
        <w:t>优点：</w:t>
      </w:r>
    </w:p>
    <w:p w14:paraId="504C4F18">
      <w:pPr>
        <w:jc w:val="left"/>
        <w:rPr>
          <w:rFonts w:hint="eastAsia"/>
          <w:lang w:val="en-US" w:eastAsia="zh-CN"/>
        </w:rPr>
      </w:pPr>
      <w:r>
        <w:rPr>
          <w:rFonts w:hint="eastAsia"/>
          <w:lang w:val="en-US" w:eastAsia="zh-CN"/>
        </w:rPr>
        <w:t>1）测量精度较高，因为电流表直接测量通过负载的电流。</w:t>
      </w:r>
    </w:p>
    <w:p w14:paraId="1CB451D1">
      <w:pPr>
        <w:jc w:val="left"/>
        <w:rPr>
          <w:rFonts w:hint="eastAsia"/>
          <w:lang w:val="en-US" w:eastAsia="zh-CN"/>
        </w:rPr>
      </w:pPr>
      <w:r>
        <w:rPr>
          <w:rFonts w:hint="eastAsia"/>
          <w:lang w:val="en-US" w:eastAsia="zh-CN"/>
        </w:rPr>
        <w:t>2）电流表的内阻对负载的影响较小，因为电流表的内阻通常很小。</w:t>
      </w:r>
    </w:p>
    <w:p w14:paraId="2D1D313E">
      <w:pPr>
        <w:jc w:val="left"/>
        <w:rPr>
          <w:rFonts w:hint="eastAsia"/>
          <w:lang w:val="en-US" w:eastAsia="zh-CN"/>
        </w:rPr>
      </w:pPr>
      <w:r>
        <w:rPr>
          <w:rFonts w:hint="eastAsia"/>
          <w:lang w:val="en-US" w:eastAsia="zh-CN"/>
        </w:rPr>
        <w:t>缺点：</w:t>
      </w:r>
    </w:p>
    <w:p w14:paraId="55967BD7">
      <w:pPr>
        <w:jc w:val="left"/>
        <w:rPr>
          <w:rFonts w:hint="eastAsia"/>
          <w:lang w:val="en-US" w:eastAsia="zh-CN"/>
        </w:rPr>
      </w:pPr>
      <w:r>
        <w:rPr>
          <w:rFonts w:hint="eastAsia"/>
          <w:lang w:val="en-US" w:eastAsia="zh-CN"/>
        </w:rPr>
        <w:t>1）电流表的内阻会影响电路的总电阻，从而影响负载的电压和电流。</w:t>
      </w:r>
    </w:p>
    <w:p w14:paraId="7D50AC1F">
      <w:pPr>
        <w:jc w:val="left"/>
        <w:rPr>
          <w:rFonts w:hint="eastAsia"/>
          <w:lang w:val="en-US" w:eastAsia="zh-CN"/>
        </w:rPr>
      </w:pPr>
      <w:r>
        <w:rPr>
          <w:rFonts w:hint="eastAsia"/>
          <w:lang w:val="en-US" w:eastAsia="zh-CN"/>
        </w:rPr>
        <w:t>2）如果电流表的内阻较大，可能会导致负载电流减小，影响负载的正常工作。</w:t>
      </w:r>
    </w:p>
    <w:p w14:paraId="5D7A54EF">
      <w:pPr>
        <w:jc w:val="left"/>
        <w:rPr>
          <w:rFonts w:hint="eastAsia"/>
          <w:b/>
          <w:bCs/>
          <w:lang w:val="en-US" w:eastAsia="zh-CN"/>
        </w:rPr>
      </w:pPr>
      <w:r>
        <w:rPr>
          <w:rFonts w:hint="eastAsia"/>
          <w:b/>
          <w:bCs/>
          <w:lang w:val="en-US" w:eastAsia="zh-CN"/>
        </w:rPr>
        <w:t>2.电流表外接法</w:t>
      </w:r>
    </w:p>
    <w:p w14:paraId="3FC37CB1">
      <w:pPr>
        <w:jc w:val="left"/>
        <w:rPr>
          <w:rFonts w:hint="eastAsia"/>
          <w:lang w:val="en-US" w:eastAsia="zh-CN"/>
        </w:rPr>
      </w:pPr>
      <w:r>
        <w:rPr>
          <w:rFonts w:hint="eastAsia"/>
          <w:lang w:val="en-US" w:eastAsia="zh-CN"/>
        </w:rPr>
        <w:t>定义：电流表与负载并联，测量通过负载的电流。</w:t>
      </w:r>
    </w:p>
    <w:p w14:paraId="5DE217F3">
      <w:pPr>
        <w:jc w:val="left"/>
        <w:rPr>
          <w:rFonts w:hint="eastAsia"/>
          <w:lang w:val="en-US" w:eastAsia="zh-CN"/>
        </w:rPr>
      </w:pPr>
      <w:r>
        <w:rPr>
          <w:rFonts w:hint="eastAsia"/>
          <w:lang w:val="en-US" w:eastAsia="zh-CN"/>
        </w:rPr>
        <w:t>优点：</w:t>
      </w:r>
    </w:p>
    <w:p w14:paraId="49561C95">
      <w:pPr>
        <w:jc w:val="left"/>
        <w:rPr>
          <w:rFonts w:hint="eastAsia"/>
          <w:lang w:val="en-US" w:eastAsia="zh-CN"/>
        </w:rPr>
      </w:pPr>
      <w:r>
        <w:rPr>
          <w:rFonts w:hint="eastAsia"/>
          <w:lang w:val="en-US" w:eastAsia="zh-CN"/>
        </w:rPr>
        <w:t>1）电流表的内阻对负载的影响较小，因为电流表的内阻与负载并联，电流主要通过负载。</w:t>
      </w:r>
    </w:p>
    <w:p w14:paraId="391F8237">
      <w:pPr>
        <w:jc w:val="left"/>
        <w:rPr>
          <w:rFonts w:hint="eastAsia"/>
          <w:lang w:val="en-US" w:eastAsia="zh-CN"/>
        </w:rPr>
      </w:pPr>
      <w:r>
        <w:rPr>
          <w:rFonts w:hint="eastAsia"/>
          <w:lang w:val="en-US" w:eastAsia="zh-CN"/>
        </w:rPr>
        <w:t>2） 不会改变电路的总电阻，对负载的电压和电流影响较小。</w:t>
      </w:r>
    </w:p>
    <w:p w14:paraId="26B0A435">
      <w:pPr>
        <w:jc w:val="left"/>
        <w:rPr>
          <w:rFonts w:hint="eastAsia"/>
          <w:lang w:val="en-US" w:eastAsia="zh-CN"/>
        </w:rPr>
      </w:pPr>
      <w:r>
        <w:rPr>
          <w:rFonts w:hint="eastAsia"/>
          <w:lang w:val="en-US" w:eastAsia="zh-CN"/>
        </w:rPr>
        <w:t>缺点：</w:t>
      </w:r>
    </w:p>
    <w:p w14:paraId="0F543603">
      <w:pPr>
        <w:jc w:val="left"/>
        <w:rPr>
          <w:rFonts w:hint="eastAsia"/>
          <w:lang w:val="en-US" w:eastAsia="zh-CN"/>
        </w:rPr>
      </w:pPr>
      <w:r>
        <w:rPr>
          <w:rFonts w:hint="eastAsia"/>
          <w:lang w:val="en-US" w:eastAsia="zh-CN"/>
        </w:rPr>
        <w:t>1）测量精度可能较低，因为电流表测量的是总电流，而不是仅通过负载的电流。</w:t>
      </w:r>
    </w:p>
    <w:p w14:paraId="44C05ECC">
      <w:pPr>
        <w:jc w:val="left"/>
        <w:rPr>
          <w:rFonts w:hint="eastAsia"/>
          <w:lang w:val="en-US" w:eastAsia="zh-CN"/>
        </w:rPr>
      </w:pPr>
      <w:r>
        <w:rPr>
          <w:rFonts w:hint="eastAsia"/>
          <w:lang w:val="en-US" w:eastAsia="zh-CN"/>
        </w:rPr>
        <w:t>2）如果电流表的内阻较小，可能会导致测量误差，因为电流表会分流一部分电流。</w:t>
      </w:r>
    </w:p>
    <w:p w14:paraId="79F8DFF3">
      <w:pPr>
        <w:jc w:val="left"/>
        <w:rPr>
          <w:rFonts w:hint="eastAsia"/>
          <w:b/>
          <w:bCs/>
          <w:lang w:val="en-US" w:eastAsia="zh-CN"/>
        </w:rPr>
      </w:pPr>
      <w:r>
        <w:rPr>
          <w:rFonts w:hint="eastAsia"/>
          <w:b/>
          <w:bCs/>
          <w:lang w:val="en-US" w:eastAsia="zh-CN"/>
        </w:rPr>
        <w:t>3.在本实验中的应用</w:t>
      </w:r>
    </w:p>
    <w:p w14:paraId="65758232">
      <w:pPr>
        <w:jc w:val="left"/>
        <w:rPr>
          <w:rFonts w:hint="eastAsia"/>
          <w:lang w:val="en-US" w:eastAsia="zh-CN"/>
        </w:rPr>
      </w:pPr>
      <w:r>
        <w:rPr>
          <w:rFonts w:hint="eastAsia"/>
          <w:lang w:val="en-US" w:eastAsia="zh-CN"/>
        </w:rPr>
        <w:t>1） 测量发光二极管的正反向特性：</w:t>
      </w:r>
    </w:p>
    <w:p w14:paraId="3330F729">
      <w:pPr>
        <w:ind w:firstLine="420" w:firstLineChars="200"/>
        <w:jc w:val="left"/>
        <w:rPr>
          <w:rFonts w:hint="eastAsia"/>
          <w:lang w:val="en-US" w:eastAsia="zh-CN"/>
        </w:rPr>
      </w:pPr>
      <w:r>
        <w:rPr>
          <w:rFonts w:hint="eastAsia"/>
          <w:lang w:val="en-US" w:eastAsia="zh-CN"/>
        </w:rPr>
        <w:t>使用内接法测量通过发光二极管的电流，可以更准确地测量发光二极管的正向和反向电流特性。需要确保电流表的内阻足够小，以免影响发光二极管的工作。</w:t>
      </w:r>
    </w:p>
    <w:p w14:paraId="26ECC47E">
      <w:pPr>
        <w:jc w:val="left"/>
        <w:rPr>
          <w:rFonts w:hint="eastAsia"/>
          <w:lang w:val="en-US" w:eastAsia="zh-CN"/>
        </w:rPr>
      </w:pPr>
      <w:r>
        <w:rPr>
          <w:rFonts w:hint="eastAsia"/>
          <w:lang w:val="en-US" w:eastAsia="zh-CN"/>
        </w:rPr>
        <w:t>2） 测量稳压管的伏安特性：</w:t>
      </w:r>
    </w:p>
    <w:p w14:paraId="490915D8">
      <w:pPr>
        <w:ind w:firstLine="420" w:firstLineChars="200"/>
        <w:jc w:val="left"/>
        <w:rPr>
          <w:rFonts w:hint="eastAsia"/>
          <w:lang w:val="en-US" w:eastAsia="zh-CN"/>
        </w:rPr>
      </w:pPr>
      <w:r>
        <w:rPr>
          <w:rFonts w:hint="eastAsia"/>
          <w:lang w:val="en-US" w:eastAsia="zh-CN"/>
        </w:rPr>
        <w:t>使用外接法测量通过稳压管的电流，可以减少电流表内阻对电路的影响，确保稳压管正常工作。需要确保电流表的内阻足够小，以便准确测量电流。</w:t>
      </w:r>
    </w:p>
    <w:p w14:paraId="39A1C859">
      <w:pPr>
        <w:jc w:val="left"/>
        <w:rPr>
          <w:rFonts w:hint="eastAsia"/>
          <w:b/>
          <w:bCs/>
          <w:lang w:val="en-US" w:eastAsia="zh-CN"/>
        </w:rPr>
      </w:pPr>
      <w:r>
        <w:rPr>
          <w:rFonts w:hint="eastAsia"/>
          <w:b/>
          <w:bCs/>
          <w:lang w:val="en-US" w:eastAsia="zh-CN"/>
        </w:rPr>
        <w:t>4.总结</w:t>
      </w:r>
    </w:p>
    <w:p w14:paraId="33444954">
      <w:pPr>
        <w:ind w:firstLine="420" w:firstLineChars="200"/>
        <w:jc w:val="left"/>
        <w:rPr>
          <w:rFonts w:hint="eastAsia"/>
          <w:lang w:val="en-US" w:eastAsia="zh-CN"/>
        </w:rPr>
      </w:pPr>
      <w:r>
        <w:rPr>
          <w:rFonts w:hint="eastAsia"/>
          <w:lang w:val="en-US" w:eastAsia="zh-CN"/>
        </w:rPr>
        <w:t>选择电流表的内接或外接法取决于具体的实验需求和电路特性。一般来说，如果需要高精度测量且电流表内阻较小，可以选择内接法；如果需要减少对电路的影响且电流表内阻较大，可以选择外接法。通过合理选择电流表的接法，可以提高实验的准确性和可靠性。</w:t>
      </w:r>
    </w:p>
    <w:p w14:paraId="255C2454">
      <w:pPr>
        <w:ind w:firstLine="2310" w:firstLineChars="1100"/>
        <w:jc w:val="both"/>
        <w:rPr>
          <w:rFonts w:hint="eastAsia"/>
          <w:lang w:val="en-US" w:eastAsia="zh-CN"/>
        </w:rPr>
      </w:pPr>
    </w:p>
    <w:p w14:paraId="2905E155">
      <w:pPr>
        <w:ind w:firstLine="2310" w:firstLineChars="1100"/>
        <w:jc w:val="both"/>
        <w:rPr>
          <w:rFonts w:hint="eastAsia"/>
          <w:lang w:val="en-US" w:eastAsia="zh-CN"/>
        </w:rPr>
      </w:pPr>
    </w:p>
    <w:p w14:paraId="0D5E83C7">
      <w:pPr>
        <w:ind w:firstLine="2310" w:firstLineChars="1100"/>
        <w:jc w:val="both"/>
        <w:rPr>
          <w:rFonts w:hint="eastAsia"/>
          <w:lang w:val="en-US" w:eastAsia="zh-CN"/>
        </w:rPr>
      </w:pPr>
    </w:p>
    <w:p w14:paraId="51A3DCAD">
      <w:pPr>
        <w:ind w:firstLine="2310" w:firstLineChars="1100"/>
        <w:jc w:val="both"/>
        <w:rPr>
          <w:rFonts w:hint="eastAsia"/>
          <w:lang w:val="en-US" w:eastAsia="zh-CN"/>
        </w:rPr>
      </w:pPr>
    </w:p>
    <w:p w14:paraId="730F90B8">
      <w:pPr>
        <w:ind w:firstLine="2310" w:firstLineChars="110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646BA8"/>
    <w:multiLevelType w:val="singleLevel"/>
    <w:tmpl w:val="DA646BA8"/>
    <w:lvl w:ilvl="0" w:tentative="0">
      <w:start w:val="2"/>
      <w:numFmt w:val="chineseCounting"/>
      <w:suff w:val="nothing"/>
      <w:lvlText w:val="%1、"/>
      <w:lvlJc w:val="left"/>
      <w:rPr>
        <w:rFonts w:hint="eastAsia"/>
      </w:rPr>
    </w:lvl>
  </w:abstractNum>
  <w:abstractNum w:abstractNumId="1">
    <w:nsid w:val="11702B41"/>
    <w:multiLevelType w:val="singleLevel"/>
    <w:tmpl w:val="11702B41"/>
    <w:lvl w:ilvl="0" w:tentative="0">
      <w:start w:val="4"/>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9F2EDA"/>
    <w:rsid w:val="409F2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1540</Words>
  <Characters>1874</Characters>
  <Lines>0</Lines>
  <Paragraphs>0</Paragraphs>
  <TotalTime>67</TotalTime>
  <ScaleCrop>false</ScaleCrop>
  <LinksUpToDate>false</LinksUpToDate>
  <CharactersWithSpaces>1884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2025-03-21T08:57:00Z</dcterms:created>
  <dc:creator>袁衡</dc:creator>
  <cp:lastModifiedBy>袁衡</cp:lastModifiedBy>
  <dcterms:modified xsi:type="dcterms:W3CDTF">2025-03-21T10:04:56Z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2A17C382F450492D916E367FF8C91E94_11</vt:lpwstr>
  </property>
  <property fmtid="{D5CDD505-2E9C-101B-9397-08002B2CF9AE}" pid="4" name="KSOTemplateDocerSaveRecord">
    <vt:lpwstr>eyJoZGlkIjoiNzg4ZGNlNjQxMDVlZWY0YmJjZTQ4YmNjOGVmY2YyNzkiLCJ1c2VySWQiOiIxNTUwMjYyMzQ0In0=</vt:lpwstr>
  </property>
</Properties>
</file>