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D48B95">
      <w:pPr>
        <w:keepNext/>
        <w:pBdr>
          <w:top w:val="single" w:color="808080" w:sz="8" w:space="4"/>
        </w:pBdr>
        <w:spacing w:before="0" w:after="140"/>
      </w:pPr>
      <w:r>
        <w:rPr>
          <w:rFonts w:ascii="Palatino Linotype" w:hAnsi="Palatino Linotype" w:eastAsia="Palatino Linotype" w:cs="Palatino Linotype"/>
          <w:b/>
          <w:sz w:val="32"/>
        </w:rPr>
        <w:t>For research article</w:t>
      </w:r>
    </w:p>
    <w:p w14:paraId="72F6B45E">
      <w:pPr>
        <w:keepNext/>
        <w:spacing w:before="0" w:after="360"/>
      </w:pPr>
      <w:r>
        <w:rPr>
          <w:rFonts w:ascii="Palatino Linotype" w:hAnsi="Palatino Linotype" w:eastAsia="Palatino Linotype" w:cs="Palatino Linotype"/>
          <w:b w:val="0"/>
          <w:sz w:val="44"/>
        </w:rPr>
        <w:t xml:space="preserve">Response to Reviewer </w:t>
      </w:r>
      <w:r>
        <w:rPr>
          <w:rFonts w:hint="eastAsia" w:eastAsia="宋体" w:cs="Palatino Linotype"/>
          <w:b w:val="0"/>
          <w:sz w:val="44"/>
          <w:lang w:val="en-US" w:eastAsia="zh-CN"/>
        </w:rPr>
        <w:t>1</w:t>
      </w:r>
      <w:r>
        <w:rPr>
          <w:rFonts w:ascii="Palatino Linotype" w:hAnsi="Palatino Linotype" w:eastAsia="Palatino Linotype" w:cs="Palatino Linotype"/>
          <w:b w:val="0"/>
          <w:sz w:val="44"/>
        </w:rPr>
        <w:t xml:space="preserve"> Comments</w:t>
      </w:r>
    </w:p>
    <w:p w14:paraId="35461A86">
      <w:pPr>
        <w:keepNext/>
        <w:keepLines/>
        <w:spacing w:before="140" w:after="60"/>
        <w:jc w:val="left"/>
      </w:pPr>
      <w:r>
        <w:rPr>
          <w:rFonts w:ascii="Palatino Linotype" w:hAnsi="Palatino Linotype" w:eastAsia="Palatino Linotype" w:cs="Palatino Linotype"/>
          <w:b/>
          <w:color w:val="000000"/>
          <w:sz w:val="21"/>
        </w:rPr>
        <w:t>Point-by-point response to Comments and Suggestions for Authors</w:t>
      </w:r>
    </w:p>
    <w:p w14:paraId="6257DAD2">
      <w:pPr>
        <w:keepNext/>
        <w:keepLines/>
        <w:spacing w:before="160" w:after="80" w:line="240" w:lineRule="auto"/>
        <w:jc w:val="both"/>
        <w:rPr>
          <w:sz w:val="21"/>
          <w:szCs w:val="21"/>
        </w:rPr>
      </w:pPr>
      <w:r>
        <w:rPr>
          <w:rFonts w:ascii="Palatino Linotype" w:hAnsi="Palatino Linotype" w:eastAsia="Palatino Linotype" w:cs="Palatino Linotype"/>
          <w:b/>
          <w:color w:val="000000"/>
          <w:sz w:val="21"/>
          <w:szCs w:val="21"/>
        </w:rPr>
        <w:t xml:space="preserve">Comments 1: </w:t>
      </w:r>
      <w:r>
        <w:rPr>
          <w:rFonts w:ascii="Palatino Linotype" w:hAnsi="Palatino Linotype" w:eastAsia="Palatino Linotype" w:cs="Palatino Linotype"/>
          <w:sz w:val="21"/>
          <w:szCs w:val="21"/>
        </w:rPr>
        <w:t>There is only one large flow chart in this paper, which is monotonous. It is recommended that each module be shown in detail with diagrams.</w:t>
      </w:r>
    </w:p>
    <w:p w14:paraId="35C88FF0">
      <w:pPr>
        <w:keepLines/>
        <w:spacing w:after="80" w:line="240" w:lineRule="auto"/>
        <w:jc w:val="both"/>
        <w:rPr>
          <w:rFonts w:eastAsia="宋体"/>
          <w:color w:val="FF0000"/>
          <w:sz w:val="21"/>
          <w:szCs w:val="21"/>
        </w:rPr>
      </w:pPr>
      <w:r>
        <w:rPr>
          <w:rFonts w:hint="eastAsia" w:ascii="Palatino Linotype" w:hAnsi="Palatino Linotype" w:eastAsia="Palatino Linotype" w:cs="Palatino Linotype"/>
          <w:b/>
          <w:bCs/>
          <w:color w:val="FF0000"/>
          <w:sz w:val="21"/>
          <w:szCs w:val="21"/>
        </w:rPr>
        <w:t xml:space="preserve">Response 1: </w:t>
      </w:r>
      <w:r>
        <w:rPr>
          <w:rFonts w:ascii="Palatino Linotype" w:hAnsi="Palatino Linotype" w:eastAsia="Palatino Linotype" w:cs="Palatino Linotype"/>
          <w:color w:val="FF0000"/>
          <w:sz w:val="21"/>
          <w:szCs w:val="21"/>
        </w:rPr>
        <w:t>We sincerely thank the reviewer for this constructive suggestion. We fully agree that presenting the overall framework and the specific details of all sub-modules in a single diagram compromised readability and made the visual presentation monotonous.</w:t>
      </w:r>
    </w:p>
    <w:p w14:paraId="70030B47">
      <w:pPr>
        <w:spacing w:after="80" w:line="240" w:lineRule="auto"/>
        <w:rPr>
          <w:rFonts w:eastAsia="宋体"/>
          <w:color w:val="FF0000"/>
          <w:sz w:val="21"/>
          <w:szCs w:val="21"/>
        </w:rPr>
      </w:pPr>
      <w:r>
        <w:rPr>
          <w:rFonts w:ascii="Palatino Linotype" w:hAnsi="Palatino Linotype" w:eastAsia="Palatino Linotype" w:cs="Palatino Linotype"/>
          <w:color w:val="FF0000"/>
          <w:sz w:val="21"/>
          <w:szCs w:val="21"/>
        </w:rPr>
        <w:t>To enhance the clarity and structural flow of the manuscript, we have completely redesigned the methodological diagrams by decoupling the overall architecture from the specific module implementations. Specifically, we have replaced the original single flowchart with a set of detailed diagrams in Section 3. Figure 1, illustrating the end-to-end pipeline of the SFI-APD framework, is retained and refined in Section 3.1. Furthermore, we designed three new, separate diagrams for the core modules to explicitly illustrate their internal operations. Figure 2, the detailed architecture of HSFIM, is added to Section 3.2, placed immediately before the mathematical formulations to clarify the spatial-frequency interaction process. Figure 3, the detailed architecture of FFAB, is added to Section 3.3, explicitly demonstrating the amplitude-phase decomposition mechanism. Finally, Figure 4, the detailed architecture of FreqViT, is added to Section 3.4, detailing the frequency-domain attention modulation prior to the multi-scale patch embedding description. By embedding these detailed figures directly into their corresponding subsections, the visual diagrams are better aligned with the mathematical formulations and textual descriptions.</w:t>
      </w:r>
    </w:p>
    <w:p w14:paraId="4BE09C8F">
      <w:pPr>
        <w:keepNext/>
        <w:spacing w:after="60" w:line="240" w:lineRule="auto"/>
        <w:rPr>
          <w:sz w:val="21"/>
          <w:szCs w:val="21"/>
        </w:rPr>
      </w:pPr>
    </w:p>
    <w:p w14:paraId="16A21F11">
      <w:pPr>
        <w:keepNext/>
        <w:spacing w:before="80" w:after="40" w:line="240" w:lineRule="auto"/>
        <w:rPr>
          <w:rFonts w:eastAsia="宋体"/>
          <w:b/>
          <w:color w:val="2E54A1" w:themeColor="accent1" w:themeShade="BF"/>
          <w:sz w:val="21"/>
          <w:szCs w:val="21"/>
        </w:rPr>
      </w:pPr>
      <w:r>
        <w:rPr>
          <w:rFonts w:ascii="Palatino Linotype" w:hAnsi="Palatino Linotype" w:eastAsia="Palatino Linotype" w:cs="Palatino Linotype"/>
          <w:b/>
          <w:color w:val="FF0000"/>
          <w:sz w:val="21"/>
          <w:szCs w:val="21"/>
        </w:rPr>
        <w:t>Revised manuscript text:</w:t>
      </w:r>
    </w:p>
    <w:p w14:paraId="0F2D1F8D">
      <w:pPr>
        <w:keepNext/>
        <w:keepLines/>
        <w:spacing w:before="40" w:after="60" w:line="240" w:lineRule="auto"/>
        <w:jc w:val="center"/>
        <w:rPr>
          <w:rFonts w:eastAsia="宋体"/>
          <w:b/>
          <w:color w:val="2E54A1" w:themeColor="accent1" w:themeShade="BF"/>
          <w:sz w:val="21"/>
          <w:szCs w:val="21"/>
        </w:rPr>
      </w:pPr>
      <w:r>
        <w:rPr>
          <w:rFonts w:hint="eastAsia" w:ascii="Palatino Linotype" w:hAnsi="Palatino Linotype" w:eastAsia="Palatino Linotype" w:cs="Palatino Linotype"/>
          <w:b/>
          <w:color w:val="2E54A1" w:themeColor="accent1" w:themeShade="BF"/>
          <w:sz w:val="21"/>
          <w:szCs w:val="21"/>
        </w:rPr>
        <w:drawing>
          <wp:inline distT="0" distB="0" distL="114300" distR="114300">
            <wp:extent cx="3990975" cy="2035810"/>
            <wp:effectExtent l="0" t="0" r="0" b="8890"/>
            <wp:docPr id="9" name="图片 9" descr="jiagou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jiagoutu"/>
                    <pic:cNvPicPr>
                      <a:picLocks noChangeAspect="1"/>
                    </pic:cNvPicPr>
                  </pic:nvPicPr>
                  <pic:blipFill>
                    <a:blip r:embed="rId7"/>
                    <a:stretch>
                      <a:fillRect/>
                    </a:stretch>
                  </pic:blipFill>
                  <pic:spPr>
                    <a:xfrm>
                      <a:off x="0" y="0"/>
                      <a:ext cx="3990975" cy="2035810"/>
                    </a:xfrm>
                    <a:prstGeom prst="rect">
                      <a:avLst/>
                    </a:prstGeom>
                  </pic:spPr>
                </pic:pic>
              </a:graphicData>
            </a:graphic>
          </wp:inline>
        </w:drawing>
      </w:r>
    </w:p>
    <w:p w14:paraId="018E9BEB">
      <w:pPr>
        <w:spacing w:after="80" w:line="240" w:lineRule="auto"/>
        <w:ind w:left="360" w:right="216"/>
        <w:rPr>
          <w:i/>
          <w:color w:val="0000FF"/>
          <w:sz w:val="21"/>
          <w:szCs w:val="21"/>
        </w:rPr>
      </w:pPr>
      <w:r>
        <w:rPr>
          <w:rFonts w:ascii="Palatino Linotype" w:hAnsi="Palatino Linotype" w:eastAsia="Palatino Linotype" w:cs="Palatino Linotype"/>
          <w:i/>
          <w:color w:val="0000FF"/>
          <w:sz w:val="21"/>
          <w:szCs w:val="21"/>
        </w:rPr>
        <w:t>“</w:t>
      </w:r>
      <w:r>
        <w:rPr>
          <w:rFonts w:hint="eastAsia" w:ascii="Palatino Linotype" w:hAnsi="Palatino Linotype" w:eastAsia="Palatino Linotype" w:cs="Palatino Linotype"/>
          <w:i/>
          <w:color w:val="0000FF"/>
          <w:sz w:val="21"/>
          <w:szCs w:val="21"/>
        </w:rPr>
        <w:t>Figure 1. Overall architecture of the SFI-APD framework. Firstly, the High-order space-frequency interactive module (HSFIM) was used to fuse the space-frequency features of the hyperspectral image after PCA dimension reduction. Then frequency feature Attention Block (FFAB) decouples the features fused with spatial-frequency information from amplitude and phase to suppress the spectral distortion caused by illumination and retain structural information. Finally, the Frequency Domain Vision Transformer (FreqViT) captures long-range dependencies under a self-supervised optimization strategy for feature representation learning with clustering optimization.</w:t>
      </w:r>
      <w:r>
        <w:rPr>
          <w:rFonts w:ascii="Palatino Linotype" w:hAnsi="Palatino Linotype" w:eastAsia="Palatino Linotype" w:cs="Palatino Linotype"/>
          <w:i/>
          <w:color w:val="0000FF"/>
          <w:sz w:val="21"/>
          <w:szCs w:val="21"/>
        </w:rPr>
        <w:t>”</w:t>
      </w:r>
    </w:p>
    <w:p w14:paraId="534C2511">
      <w:pPr>
        <w:keepLines/>
        <w:spacing w:before="40" w:after="60" w:line="240" w:lineRule="auto"/>
        <w:ind w:left="360" w:right="216"/>
        <w:jc w:val="center"/>
        <w:rPr>
          <w:i/>
          <w:color w:val="0000FF"/>
          <w:sz w:val="21"/>
          <w:szCs w:val="21"/>
        </w:rPr>
      </w:pPr>
      <w:r>
        <w:rPr>
          <w:rFonts w:hint="eastAsia" w:ascii="Palatino Linotype" w:hAnsi="Palatino Linotype" w:eastAsia="Palatino Linotype" w:cs="Palatino Linotype"/>
          <w:i/>
          <w:color w:val="0000FF"/>
          <w:sz w:val="21"/>
          <w:szCs w:val="21"/>
        </w:rPr>
        <w:drawing>
          <wp:inline distT="0" distB="0" distL="114300" distR="114300">
            <wp:extent cx="2032000" cy="1522095"/>
            <wp:effectExtent l="0" t="0" r="0" b="1905"/>
            <wp:docPr id="11" name="图片 11" descr="HSF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HSFIM"/>
                    <pic:cNvPicPr>
                      <a:picLocks noChangeAspect="1"/>
                    </pic:cNvPicPr>
                  </pic:nvPicPr>
                  <pic:blipFill>
                    <a:blip r:embed="rId8"/>
                    <a:stretch>
                      <a:fillRect/>
                    </a:stretch>
                  </pic:blipFill>
                  <pic:spPr>
                    <a:xfrm>
                      <a:off x="0" y="0"/>
                      <a:ext cx="2032000" cy="1522095"/>
                    </a:xfrm>
                    <a:prstGeom prst="rect">
                      <a:avLst/>
                    </a:prstGeom>
                  </pic:spPr>
                </pic:pic>
              </a:graphicData>
            </a:graphic>
          </wp:inline>
        </w:drawing>
      </w:r>
    </w:p>
    <w:p w14:paraId="71537C94">
      <w:pPr>
        <w:keepNext/>
        <w:spacing w:after="80" w:line="240" w:lineRule="auto"/>
        <w:ind w:left="360" w:right="216"/>
        <w:jc w:val="center"/>
        <w:rPr>
          <w:sz w:val="21"/>
          <w:szCs w:val="21"/>
        </w:rPr>
      </w:pPr>
      <w:r>
        <w:rPr>
          <w:rFonts w:ascii="Palatino Linotype" w:hAnsi="Palatino Linotype" w:eastAsia="Palatino Linotype" w:cs="Palatino Linotype"/>
          <w:i/>
          <w:color w:val="0000FF"/>
          <w:sz w:val="21"/>
          <w:szCs w:val="21"/>
        </w:rPr>
        <w:t xml:space="preserve">Figure </w:t>
      </w:r>
      <w:r>
        <w:rPr>
          <w:rFonts w:hint="eastAsia" w:ascii="Palatino Linotype" w:hAnsi="Palatino Linotype" w:eastAsia="Palatino Linotype" w:cs="Palatino Linotype"/>
          <w:i/>
          <w:color w:val="0000FF"/>
          <w:sz w:val="21"/>
          <w:szCs w:val="21"/>
        </w:rPr>
        <w:t xml:space="preserve">2. </w:t>
      </w:r>
      <w:r>
        <w:rPr>
          <w:rFonts w:hint="eastAsia" w:eastAsia="宋体" w:cs="Palatino Linotype"/>
          <w:i/>
          <w:color w:val="0000FF"/>
          <w:sz w:val="21"/>
          <w:szCs w:val="21"/>
          <w:lang w:val="en-US" w:eastAsia="zh-CN"/>
        </w:rPr>
        <w:t>D</w:t>
      </w:r>
      <w:r>
        <w:rPr>
          <w:rFonts w:ascii="Palatino Linotype" w:hAnsi="Palatino Linotype" w:eastAsia="Palatino Linotype" w:cs="Palatino Linotype"/>
          <w:i/>
          <w:color w:val="0000FF"/>
          <w:sz w:val="21"/>
          <w:szCs w:val="21"/>
        </w:rPr>
        <w:t>etailed architecture of HSFIM</w:t>
      </w:r>
    </w:p>
    <w:p w14:paraId="6472F680">
      <w:pPr>
        <w:spacing w:after="80" w:line="240" w:lineRule="auto"/>
        <w:ind w:left="360" w:right="216"/>
        <w:rPr>
          <w:i/>
          <w:color w:val="0000FF"/>
          <w:sz w:val="21"/>
          <w:szCs w:val="21"/>
        </w:rPr>
      </w:pPr>
    </w:p>
    <w:p w14:paraId="66456EF1">
      <w:pPr>
        <w:keepLines/>
        <w:spacing w:before="40" w:after="60" w:line="240" w:lineRule="auto"/>
        <w:ind w:left="360" w:right="216"/>
        <w:jc w:val="center"/>
        <w:rPr>
          <w:i/>
          <w:color w:val="0000FF"/>
          <w:sz w:val="21"/>
          <w:szCs w:val="21"/>
        </w:rPr>
      </w:pPr>
      <w:r>
        <w:rPr>
          <w:rFonts w:hint="eastAsia" w:ascii="Palatino Linotype" w:hAnsi="Palatino Linotype" w:eastAsia="Palatino Linotype" w:cs="Palatino Linotype"/>
          <w:i/>
          <w:color w:val="0000FF"/>
          <w:sz w:val="21"/>
          <w:szCs w:val="21"/>
        </w:rPr>
        <w:drawing>
          <wp:inline distT="0" distB="0" distL="114300" distR="114300">
            <wp:extent cx="1675130" cy="1271270"/>
            <wp:effectExtent l="0" t="0" r="1270" b="11430"/>
            <wp:docPr id="5" name="图片 5"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3"/>
                    <pic:cNvPicPr>
                      <a:picLocks noChangeAspect="1"/>
                    </pic:cNvPicPr>
                  </pic:nvPicPr>
                  <pic:blipFill>
                    <a:blip r:embed="rId9"/>
                    <a:stretch>
                      <a:fillRect/>
                    </a:stretch>
                  </pic:blipFill>
                  <pic:spPr>
                    <a:xfrm>
                      <a:off x="0" y="0"/>
                      <a:ext cx="1675130" cy="1271270"/>
                    </a:xfrm>
                    <a:prstGeom prst="rect">
                      <a:avLst/>
                    </a:prstGeom>
                  </pic:spPr>
                </pic:pic>
              </a:graphicData>
            </a:graphic>
          </wp:inline>
        </w:drawing>
      </w:r>
    </w:p>
    <w:p w14:paraId="0B25EC92">
      <w:pPr>
        <w:keepNext/>
        <w:spacing w:after="80" w:line="240" w:lineRule="auto"/>
        <w:ind w:left="360" w:right="216"/>
        <w:jc w:val="center"/>
        <w:rPr>
          <w:i/>
          <w:color w:val="0000FF"/>
          <w:sz w:val="21"/>
          <w:szCs w:val="21"/>
        </w:rPr>
      </w:pPr>
      <w:r>
        <w:rPr>
          <w:rFonts w:ascii="Palatino Linotype" w:hAnsi="Palatino Linotype" w:eastAsia="Palatino Linotype" w:cs="Palatino Linotype"/>
          <w:i/>
          <w:color w:val="0000FF"/>
          <w:sz w:val="21"/>
          <w:szCs w:val="21"/>
        </w:rPr>
        <w:t xml:space="preserve">Figure </w:t>
      </w:r>
      <w:r>
        <w:rPr>
          <w:rFonts w:hint="eastAsia" w:ascii="Palatino Linotype" w:hAnsi="Palatino Linotype" w:eastAsia="Palatino Linotype" w:cs="Palatino Linotype"/>
          <w:i/>
          <w:color w:val="0000FF"/>
          <w:sz w:val="21"/>
          <w:szCs w:val="21"/>
        </w:rPr>
        <w:t xml:space="preserve">3. </w:t>
      </w:r>
      <w:r>
        <w:rPr>
          <w:rFonts w:hint="eastAsia" w:eastAsia="宋体" w:cs="Palatino Linotype"/>
          <w:i/>
          <w:color w:val="0000FF"/>
          <w:sz w:val="21"/>
          <w:szCs w:val="21"/>
          <w:lang w:val="en-US" w:eastAsia="zh-CN"/>
        </w:rPr>
        <w:t>D</w:t>
      </w:r>
      <w:r>
        <w:rPr>
          <w:rFonts w:ascii="Palatino Linotype" w:hAnsi="Palatino Linotype" w:eastAsia="Palatino Linotype" w:cs="Palatino Linotype"/>
          <w:i/>
          <w:color w:val="0000FF"/>
          <w:sz w:val="21"/>
          <w:szCs w:val="21"/>
        </w:rPr>
        <w:t>etailed architecture of FFAB</w:t>
      </w:r>
    </w:p>
    <w:p w14:paraId="4F5FA55C">
      <w:pPr>
        <w:spacing w:after="80" w:line="240" w:lineRule="auto"/>
        <w:ind w:left="360" w:right="216"/>
        <w:rPr>
          <w:i/>
          <w:color w:val="0000FF"/>
          <w:sz w:val="21"/>
          <w:szCs w:val="21"/>
        </w:rPr>
      </w:pPr>
    </w:p>
    <w:p w14:paraId="30CD544B">
      <w:pPr>
        <w:keepLines/>
        <w:spacing w:before="40" w:after="60" w:line="240" w:lineRule="auto"/>
        <w:ind w:left="360" w:right="216"/>
        <w:jc w:val="center"/>
        <w:rPr>
          <w:i/>
          <w:color w:val="0000FF"/>
          <w:sz w:val="21"/>
          <w:szCs w:val="21"/>
        </w:rPr>
      </w:pPr>
      <w:r>
        <w:rPr>
          <w:rFonts w:hint="eastAsia" w:ascii="Palatino Linotype" w:hAnsi="Palatino Linotype" w:eastAsia="Palatino Linotype" w:cs="Palatino Linotype"/>
          <w:i/>
          <w:color w:val="0000FF"/>
          <w:sz w:val="21"/>
          <w:szCs w:val="21"/>
        </w:rPr>
        <w:drawing>
          <wp:inline distT="0" distB="0" distL="114300" distR="114300">
            <wp:extent cx="3858895" cy="1570355"/>
            <wp:effectExtent l="0" t="0" r="1905" b="4445"/>
            <wp:docPr id="6" name="图片 6"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4"/>
                    <pic:cNvPicPr>
                      <a:picLocks noChangeAspect="1"/>
                    </pic:cNvPicPr>
                  </pic:nvPicPr>
                  <pic:blipFill>
                    <a:blip r:embed="rId10"/>
                    <a:stretch>
                      <a:fillRect/>
                    </a:stretch>
                  </pic:blipFill>
                  <pic:spPr>
                    <a:xfrm>
                      <a:off x="0" y="0"/>
                      <a:ext cx="3858895" cy="1570355"/>
                    </a:xfrm>
                    <a:prstGeom prst="rect">
                      <a:avLst/>
                    </a:prstGeom>
                  </pic:spPr>
                </pic:pic>
              </a:graphicData>
            </a:graphic>
          </wp:inline>
        </w:drawing>
      </w:r>
    </w:p>
    <w:p w14:paraId="2F3FFCE0">
      <w:pPr>
        <w:keepNext/>
        <w:spacing w:after="80" w:line="240" w:lineRule="auto"/>
        <w:ind w:left="360" w:right="216"/>
        <w:jc w:val="center"/>
        <w:rPr>
          <w:i/>
          <w:color w:val="0000FF"/>
          <w:sz w:val="21"/>
          <w:szCs w:val="21"/>
        </w:rPr>
      </w:pPr>
      <w:r>
        <w:rPr>
          <w:rFonts w:ascii="Palatino Linotype" w:hAnsi="Palatino Linotype" w:eastAsia="Palatino Linotype" w:cs="Palatino Linotype"/>
          <w:i/>
          <w:color w:val="0000FF"/>
          <w:sz w:val="21"/>
          <w:szCs w:val="21"/>
        </w:rPr>
        <w:t xml:space="preserve">Figure </w:t>
      </w:r>
      <w:r>
        <w:rPr>
          <w:rFonts w:hint="eastAsia" w:ascii="Palatino Linotype" w:hAnsi="Palatino Linotype" w:eastAsia="Palatino Linotype" w:cs="Palatino Linotype"/>
          <w:i/>
          <w:color w:val="0000FF"/>
          <w:sz w:val="21"/>
          <w:szCs w:val="21"/>
        </w:rPr>
        <w:t xml:space="preserve">4. </w:t>
      </w:r>
      <w:r>
        <w:rPr>
          <w:rFonts w:hint="eastAsia" w:eastAsia="宋体" w:cs="Palatino Linotype"/>
          <w:i/>
          <w:color w:val="0000FF"/>
          <w:sz w:val="21"/>
          <w:szCs w:val="21"/>
          <w:lang w:val="en-US" w:eastAsia="zh-CN"/>
        </w:rPr>
        <w:t>D</w:t>
      </w:r>
      <w:r>
        <w:rPr>
          <w:rFonts w:ascii="Palatino Linotype" w:hAnsi="Palatino Linotype" w:eastAsia="Palatino Linotype" w:cs="Palatino Linotype"/>
          <w:i/>
          <w:color w:val="0000FF"/>
          <w:sz w:val="21"/>
          <w:szCs w:val="21"/>
        </w:rPr>
        <w:t>etailed architecture of FreqViT</w:t>
      </w:r>
    </w:p>
    <w:p w14:paraId="31D0625E">
      <w:pPr>
        <w:spacing w:after="80" w:line="240" w:lineRule="auto"/>
        <w:ind w:left="360" w:right="216"/>
        <w:jc w:val="center"/>
        <w:rPr>
          <w:rFonts w:hint="eastAsia"/>
          <w:i/>
          <w:color w:val="0000FF"/>
          <w:sz w:val="21"/>
          <w:szCs w:val="21"/>
        </w:rPr>
      </w:pPr>
    </w:p>
    <w:p w14:paraId="5D45E309">
      <w:pPr>
        <w:keepNext/>
        <w:keepLines/>
        <w:spacing w:before="160" w:after="80" w:line="240" w:lineRule="auto"/>
        <w:jc w:val="both"/>
        <w:rPr>
          <w:sz w:val="21"/>
          <w:szCs w:val="21"/>
        </w:rPr>
      </w:pPr>
      <w:r>
        <w:rPr>
          <w:rFonts w:ascii="Palatino Linotype" w:hAnsi="Palatino Linotype" w:eastAsia="Palatino Linotype" w:cs="Palatino Linotype"/>
          <w:b/>
          <w:color w:val="000000"/>
          <w:sz w:val="21"/>
          <w:szCs w:val="21"/>
        </w:rPr>
        <w:t xml:space="preserve">Comments 2: </w:t>
      </w:r>
      <w:r>
        <w:rPr>
          <w:rFonts w:ascii="Palatino Linotype" w:hAnsi="Palatino Linotype" w:eastAsia="Palatino Linotype" w:cs="Palatino Linotype"/>
          <w:sz w:val="21"/>
          <w:szCs w:val="21"/>
        </w:rPr>
        <w:t>Why choose Fourier filtering for frequency-domain feature extraction?</w:t>
      </w:r>
    </w:p>
    <w:p w14:paraId="08520F04">
      <w:pPr>
        <w:keepLines/>
        <w:spacing w:after="80" w:line="240" w:lineRule="auto"/>
        <w:ind w:right="216"/>
        <w:jc w:val="both"/>
        <w:rPr>
          <w:iCs/>
          <w:color w:val="FF0000"/>
          <w:sz w:val="21"/>
          <w:szCs w:val="21"/>
        </w:rPr>
      </w:pPr>
      <w:r>
        <w:rPr>
          <w:rFonts w:hint="eastAsia" w:ascii="Palatino Linotype" w:hAnsi="Palatino Linotype" w:eastAsia="Palatino Linotype" w:cs="Palatino Linotype"/>
          <w:b/>
          <w:bCs/>
          <w:iCs/>
          <w:color w:val="FF0000"/>
          <w:sz w:val="21"/>
          <w:szCs w:val="21"/>
        </w:rPr>
        <w:t>Response 2:</w:t>
      </w:r>
      <w:r>
        <w:rPr>
          <w:rFonts w:ascii="Palatino Linotype" w:hAnsi="Palatino Linotype" w:eastAsia="Palatino Linotype" w:cs="Palatino Linotype"/>
          <w:b/>
          <w:bCs/>
          <w:iCs/>
          <w:color w:val="FF0000"/>
          <w:sz w:val="21"/>
          <w:szCs w:val="21"/>
        </w:rPr>
        <w:t xml:space="preserve"> </w:t>
      </w:r>
      <w:r>
        <w:rPr>
          <w:rFonts w:ascii="Palatino Linotype" w:hAnsi="Palatino Linotype" w:eastAsia="Palatino Linotype" w:cs="Palatino Linotype"/>
          <w:iCs/>
          <w:color w:val="FF0000"/>
          <w:sz w:val="21"/>
          <w:szCs w:val="21"/>
        </w:rPr>
        <w:t>We sincerely thank the reviewer for raising the insightful question regarding the reasons for selecting Fourier filtering for frequency-domain feature extraction. The choice of Fast Fourier Transform, FFT, over other transformations, such as the Discrete Cosine Transform, DCT, or Discrete Wavelet Transform, DWT, is determined by the design requirements of the subsequent Frequency Feature Attention Block, FFAB. FFT extracts a complete complex-domain spectrum containing both amplitude and phase. Extracting both amplitude and phase is a core requirement for FFAB to decouple and suppress illumination-sensitive amplitude components while preserving structure-rich phase information. In contrast, DCT only outputs real-valued coefficients and lacks the explicit phase information required for amplitude and phase decoupling. Although DWT offers good time-frequency localization, multi-level subband decomposition and inverse reconstruction operations significantly increase computational complexity. Therefore, FFT provides an optimal balance between architectural simplicity and functional requirements.</w:t>
      </w:r>
    </w:p>
    <w:p w14:paraId="366DD030">
      <w:pPr>
        <w:spacing w:after="80" w:line="240" w:lineRule="auto"/>
        <w:ind w:right="216"/>
        <w:rPr>
          <w:iCs/>
          <w:color w:val="FF0000"/>
          <w:sz w:val="21"/>
          <w:szCs w:val="21"/>
        </w:rPr>
      </w:pPr>
      <w:r>
        <w:rPr>
          <w:rFonts w:ascii="Palatino Linotype" w:hAnsi="Palatino Linotype" w:eastAsia="Palatino Linotype" w:cs="Palatino Linotype"/>
          <w:iCs/>
          <w:color w:val="FF0000"/>
          <w:sz w:val="21"/>
          <w:szCs w:val="21"/>
        </w:rPr>
        <w:t>To thoroughly validate the choice of FFT, we conducted an ablation study</w:t>
      </w:r>
      <w:r>
        <w:rPr>
          <w:rFonts w:hint="eastAsia" w:ascii="Palatino Linotype" w:hAnsi="Palatino Linotype" w:eastAsia="Palatino Linotype" w:cs="Palatino Linotype"/>
          <w:iCs/>
          <w:color w:val="FF0000"/>
          <w:sz w:val="21"/>
          <w:szCs w:val="21"/>
          <w:lang w:val="en-US" w:eastAsia="zh-CN"/>
        </w:rPr>
        <w:t xml:space="preserve"> </w:t>
      </w:r>
      <w:r>
        <w:rPr>
          <w:rFonts w:ascii="Palatino Linotype" w:hAnsi="Palatino Linotype" w:eastAsia="Palatino Linotype" w:cs="Palatino Linotype"/>
          <w:iCs/>
          <w:color w:val="FF0000"/>
          <w:sz w:val="21"/>
          <w:szCs w:val="21"/>
        </w:rPr>
        <w:t>by replacing the FFT branch in HSFIM with four alternatives, including pure 3×3 spatial convolution, large-kernel 5×5 spatial convolution, DCT, and Haar-wavelet-based DWT. The FFT-based approach consistently demonstrated superior cross-scene generalization. On the Indian Pines, Salinas, and Yangzhou datasets, FFT significantly outperformed the other four methods in Overall Accuracy, OA. Specifically</w:t>
      </w:r>
      <w:r>
        <w:rPr>
          <w:rFonts w:hint="eastAsia" w:eastAsia="宋体" w:cs="Palatino Linotype"/>
          <w:iCs/>
          <w:color w:val="FF0000"/>
          <w:sz w:val="21"/>
          <w:szCs w:val="21"/>
          <w:lang w:val="en-US" w:eastAsia="zh-CN"/>
        </w:rPr>
        <w:t xml:space="preserve"> </w:t>
      </w:r>
      <w:r>
        <w:rPr>
          <w:rFonts w:ascii="Palatino Linotype" w:hAnsi="Palatino Linotype" w:eastAsia="Palatino Linotype" w:cs="Palatino Linotype"/>
          <w:iCs/>
          <w:color w:val="FF0000"/>
          <w:sz w:val="21"/>
          <w:szCs w:val="21"/>
        </w:rPr>
        <w:t>on the Yangzhou dataset, FFT achieved 64.11% OA, exceeding pure spatial convolution, large-kernel convolution, DCT, and DWT by 17.57%, 10.79%, 4.84%, and 5.14%. On the Pavia University dataset, FFT achieved 54.57% OA, outperforming pure spatial convolution, large-kernel convolution, DCT, and DWT by 4.85%, 3.78%, 0.95%, and 6.71%</w:t>
      </w:r>
      <w:r>
        <w:rPr>
          <w:rFonts w:hint="eastAsia" w:ascii="Palatino Linotype" w:hAnsi="Palatino Linotype" w:eastAsia="Palatino Linotype" w:cs="Palatino Linotype"/>
          <w:iCs/>
          <w:color w:val="FF0000"/>
          <w:sz w:val="21"/>
          <w:szCs w:val="21"/>
          <w:lang w:val="en-US" w:eastAsia="zh-CN"/>
        </w:rPr>
        <w:t xml:space="preserve">. </w:t>
      </w:r>
      <w:r>
        <w:rPr>
          <w:rFonts w:ascii="Palatino Linotype" w:hAnsi="Palatino Linotype" w:eastAsia="Palatino Linotype" w:cs="Palatino Linotype"/>
          <w:iCs/>
          <w:color w:val="FF0000"/>
          <w:sz w:val="21"/>
          <w:szCs w:val="21"/>
        </w:rPr>
        <w:t>FFT achieved much higher Adjusted Rand Index, ARI, 39.40% versus 34.11%, and Fowlkes-Mallows Index, FMI, 52.38% versus 48.07%, indicating a much more consistent clustering performance. The experimental results confirm that the performance gain results from the global frequency-domain feature representation rather than a simple increase in parameters or kernel size.</w:t>
      </w:r>
    </w:p>
    <w:p w14:paraId="5F42369F">
      <w:pPr>
        <w:spacing w:after="80" w:line="240" w:lineRule="auto"/>
        <w:ind w:right="216"/>
        <w:rPr>
          <w:rFonts w:hint="default" w:eastAsia="宋体"/>
          <w:iCs/>
          <w:color w:val="FF0000"/>
          <w:sz w:val="21"/>
          <w:szCs w:val="21"/>
          <w:lang w:val="en-US" w:eastAsia="zh-CN"/>
        </w:rPr>
      </w:pPr>
      <w:r>
        <w:rPr>
          <w:rFonts w:ascii="Palatino Linotype" w:hAnsi="Palatino Linotype" w:eastAsia="Palatino Linotype" w:cs="Palatino Linotype"/>
          <w:iCs/>
          <w:color w:val="FF0000"/>
          <w:sz w:val="21"/>
          <w:szCs w:val="21"/>
        </w:rPr>
        <w:t xml:space="preserve">Based on the comprehensive analysis, we have incorporated the ablation study comparing different frequency-domain modeling methods into Section 4.4, along with the corresponding quantitative results presented in Table </w:t>
      </w:r>
      <w:r>
        <w:rPr>
          <w:rFonts w:hint="eastAsia" w:ascii="Palatino Linotype" w:hAnsi="Palatino Linotype" w:eastAsia="Palatino Linotype" w:cs="Palatino Linotype"/>
          <w:iCs/>
          <w:color w:val="FF0000"/>
          <w:sz w:val="21"/>
          <w:szCs w:val="21"/>
          <w:lang w:val="en-US" w:eastAsia="zh-CN"/>
        </w:rPr>
        <w:t>11.</w:t>
      </w:r>
    </w:p>
    <w:p w14:paraId="0F36F49E">
      <w:pPr>
        <w:keepNext/>
        <w:keepLines w:val="0"/>
        <w:widowControl/>
        <w:suppressLineNumbers w:val="0"/>
        <w:spacing w:before="80" w:after="40" w:line="240" w:lineRule="auto"/>
        <w:rPr>
          <w:rFonts w:hint="default" w:ascii="Times New Roman" w:hAnsi="Times New Roman" w:eastAsia="Times New Roman" w:cstheme="minorBidi"/>
          <w:b w:val="0"/>
          <w:bCs w:val="0"/>
          <w:iCs/>
          <w:color w:val="FF0000"/>
          <w:kern w:val="2"/>
          <w:sz w:val="21"/>
          <w:szCs w:val="21"/>
          <w:lang w:val="en-US" w:eastAsia="zh-CN" w:bidi="ar-SA"/>
        </w:rPr>
      </w:pPr>
      <w:r>
        <w:rPr>
          <w:rFonts w:hint="default" w:ascii="Palatino Linotype" w:hAnsi="Palatino Linotype" w:eastAsia="Palatino Linotype" w:cstheme="minorBidi"/>
          <w:b/>
          <w:bCs/>
          <w:iCs/>
          <w:color w:val="FF0000"/>
          <w:kern w:val="2"/>
          <w:sz w:val="21"/>
          <w:szCs w:val="21"/>
          <w:lang w:val="en-US" w:eastAsia="zh-CN" w:bidi="ar-SA"/>
        </w:rPr>
        <w:t>Location in the revised manuscript:</w:t>
      </w:r>
      <w:r>
        <w:rPr>
          <w:rFonts w:hint="default" w:ascii="Palatino Linotype" w:hAnsi="Palatino Linotype" w:eastAsia="Palatino Linotype" w:cstheme="minorBidi"/>
          <w:b w:val="0"/>
          <w:bCs w:val="0"/>
          <w:iCs/>
          <w:color w:val="FF0000"/>
          <w:kern w:val="2"/>
          <w:sz w:val="21"/>
          <w:szCs w:val="21"/>
          <w:lang w:val="en-US" w:eastAsia="zh-CN" w:bidi="ar-SA"/>
        </w:rPr>
        <w:br w:type="textWrapping"/>
      </w:r>
      <w:r>
        <w:rPr>
          <w:rFonts w:hint="default" w:ascii="Palatino Linotype" w:hAnsi="Palatino Linotype" w:eastAsia="Palatino Linotype" w:cstheme="minorBidi"/>
          <w:b w:val="0"/>
          <w:bCs w:val="0"/>
          <w:iCs/>
          <w:color w:val="FF0000"/>
          <w:kern w:val="2"/>
          <w:sz w:val="21"/>
          <w:szCs w:val="21"/>
          <w:lang w:val="en-US" w:eastAsia="zh-CN" w:bidi="ar-SA"/>
        </w:rPr>
        <w:t xml:space="preserve">Section 4.4, </w:t>
      </w:r>
      <w:r>
        <w:rPr>
          <w:rFonts w:hint="eastAsia" w:ascii="Palatino Linotype" w:hAnsi="Palatino Linotype" w:eastAsia="Palatino Linotype" w:cstheme="minorBidi"/>
          <w:b w:val="0"/>
          <w:bCs w:val="0"/>
          <w:iCs/>
          <w:color w:val="FF0000"/>
          <w:kern w:val="2"/>
          <w:sz w:val="21"/>
          <w:szCs w:val="21"/>
          <w:lang w:val="en-US" w:eastAsia="zh-CN" w:bidi="ar-SA"/>
        </w:rPr>
        <w:t>“</w:t>
      </w:r>
      <w:r>
        <w:rPr>
          <w:rFonts w:hint="default" w:ascii="Palatino Linotype" w:hAnsi="Palatino Linotype" w:eastAsia="Palatino Linotype" w:cstheme="minorBidi"/>
          <w:b w:val="0"/>
          <w:bCs w:val="0"/>
          <w:iCs/>
          <w:color w:val="FF0000"/>
          <w:kern w:val="2"/>
          <w:sz w:val="21"/>
          <w:szCs w:val="21"/>
          <w:lang w:val="en-US" w:eastAsia="zh-CN" w:bidi="ar-SA"/>
        </w:rPr>
        <w:t>Comparison of Frequency-Domain Feature Extraction Strategies in HSFIM,” immediately after “Effectiveness of Multi-Scale Convolutional Embedding” and before “Phase Sensitivity Analysis of FreqViT.”</w:t>
      </w:r>
      <w:r>
        <w:rPr>
          <w:rFonts w:hint="eastAsia" w:ascii="Palatino Linotype" w:hAnsi="Palatino Linotype" w:eastAsia="Palatino Linotype" w:cstheme="minorBidi"/>
          <w:b w:val="0"/>
          <w:bCs w:val="0"/>
          <w:iCs/>
          <w:color w:val="FF0000"/>
          <w:kern w:val="2"/>
          <w:sz w:val="21"/>
          <w:szCs w:val="21"/>
          <w:lang w:val="en-US" w:eastAsia="zh-CN" w:bidi="ar-SA"/>
        </w:rPr>
        <w:t>in</w:t>
      </w:r>
      <w:r>
        <w:rPr>
          <w:rFonts w:hint="default" w:ascii="Palatino Linotype" w:hAnsi="Palatino Linotype" w:eastAsia="Palatino Linotype" w:cstheme="minorBidi"/>
          <w:b w:val="0"/>
          <w:bCs w:val="0"/>
          <w:iCs/>
          <w:color w:val="FF0000"/>
          <w:kern w:val="2"/>
          <w:sz w:val="21"/>
          <w:szCs w:val="21"/>
          <w:lang w:val="en-US" w:eastAsia="zh-CN" w:bidi="ar-SA"/>
        </w:rPr>
        <w:t xml:space="preserve"> the main component ablation study</w:t>
      </w:r>
      <w:r>
        <w:rPr>
          <w:rFonts w:hint="eastAsia" w:ascii="Palatino Linotype" w:hAnsi="Palatino Linotype" w:eastAsia="Palatino Linotype" w:cstheme="minorBidi"/>
          <w:b w:val="0"/>
          <w:bCs w:val="0"/>
          <w:iCs/>
          <w:color w:val="FF0000"/>
          <w:kern w:val="2"/>
          <w:sz w:val="21"/>
          <w:szCs w:val="21"/>
          <w:lang w:val="en-US" w:eastAsia="zh-CN" w:bidi="ar-SA"/>
        </w:rPr>
        <w:t>.</w:t>
      </w:r>
    </w:p>
    <w:p w14:paraId="57CE6690">
      <w:pPr>
        <w:keepNext/>
        <w:spacing w:before="80" w:after="40" w:line="240" w:lineRule="auto"/>
        <w:rPr>
          <w:rFonts w:hint="default" w:ascii="Times New Roman" w:hAnsi="Times New Roman" w:eastAsia="Times New Roman" w:cstheme="minorBidi"/>
          <w:b w:val="0"/>
          <w:bCs w:val="0"/>
          <w:iCs/>
          <w:color w:val="FF0000"/>
          <w:kern w:val="2"/>
          <w:sz w:val="21"/>
          <w:szCs w:val="21"/>
          <w:lang w:val="en-US" w:eastAsia="zh-CN" w:bidi="ar-SA"/>
        </w:rPr>
      </w:pPr>
      <w:r>
        <w:rPr>
          <w:rFonts w:ascii="Palatino Linotype" w:hAnsi="Palatino Linotype" w:eastAsia="Palatino Linotype" w:cs="Palatino Linotype"/>
          <w:b/>
          <w:color w:val="FF0000"/>
          <w:sz w:val="21"/>
          <w:szCs w:val="21"/>
        </w:rPr>
        <w:t>Revised manuscript text:</w:t>
      </w:r>
      <w:bookmarkStart w:id="0" w:name="_GoBack"/>
      <w:bookmarkEnd w:id="0"/>
    </w:p>
    <w:p w14:paraId="5166B90F">
      <w:pPr>
        <w:keepNext w:val="0"/>
        <w:keepLines w:val="0"/>
        <w:widowControl/>
        <w:suppressLineNumbers w:val="0"/>
        <w:spacing w:after="80" w:line="240" w:lineRule="auto"/>
        <w:rPr>
          <w:rFonts w:hint="default" w:ascii="Times New Roman" w:hAnsi="Times New Roman" w:eastAsia="Times New Roman" w:cstheme="minorBidi"/>
          <w:b w:val="0"/>
          <w:bCs w:val="0"/>
          <w:i/>
          <w:color w:val="0000FF"/>
          <w:kern w:val="2"/>
          <w:sz w:val="21"/>
          <w:szCs w:val="21"/>
          <w:lang w:val="en-US" w:eastAsia="zh-CN" w:bidi="ar-SA"/>
        </w:rPr>
      </w:pPr>
      <w:r>
        <w:rPr>
          <w:rFonts w:hint="default" w:ascii="Palatino Linotype" w:hAnsi="Palatino Linotype" w:eastAsia="Palatino Linotype" w:cstheme="minorBidi"/>
          <w:b w:val="0"/>
          <w:bCs w:val="0"/>
          <w:i/>
          <w:color w:val="0000FF"/>
          <w:kern w:val="2"/>
          <w:sz w:val="21"/>
          <w:szCs w:val="21"/>
          <w:lang w:val="en-US" w:eastAsia="zh-CN" w:bidi="ar-SA"/>
        </w:rPr>
        <w:t>“Comparison of Frequency-Domain Feature Extraction Strategies in HSFIM</w:t>
      </w:r>
    </w:p>
    <w:p w14:paraId="6C7AAE76">
      <w:pPr>
        <w:spacing w:after="80" w:line="240" w:lineRule="auto"/>
        <w:rPr>
          <w:rFonts w:hint="default" w:ascii="Times New Roman" w:hAnsi="Times New Roman" w:eastAsia="Times New Roman" w:cstheme="minorBidi"/>
          <w:b w:val="0"/>
          <w:bCs w:val="0"/>
          <w:i/>
          <w:color w:val="0000FF"/>
          <w:kern w:val="2"/>
          <w:sz w:val="21"/>
          <w:szCs w:val="21"/>
          <w:lang w:val="en-US" w:eastAsia="zh-CN" w:bidi="ar-SA"/>
        </w:rPr>
      </w:pPr>
      <w:r>
        <w:rPr>
          <w:rFonts w:hint="default" w:ascii="Palatino Linotype" w:hAnsi="Palatino Linotype" w:eastAsia="Palatino Linotype" w:cstheme="minorBidi"/>
          <w:b w:val="0"/>
          <w:bCs w:val="0"/>
          <w:i/>
          <w:color w:val="0000FF"/>
          <w:kern w:val="2"/>
          <w:sz w:val="21"/>
          <w:szCs w:val="21"/>
          <w:lang w:val="en-US" w:eastAsia="zh-CN" w:bidi="ar-SA"/>
        </w:rPr>
        <w:t xml:space="preserve">Fourier filtering is crucial for HSFIM, as it simultaneously enables global feature aggregation and extracts the amplitude and phase information required by the subsequent FFAB. To verify its effectiveness, we compared our proposed learnable complex Fourier filtering (FFT) with four alternative strategies: (1) Spatial Conv, which retains only the 3×3 spatial convolution; (2) Large-kernel Conv, which uses a 5×5 convolution; (3) DCT, which applies learnable filtering to discrete cosine coefficients; and (4) DWT, which performs wavelet decomposition, learnable subband modulation, and inverse reconstruction. To ensure a fair comparison, only the feature extraction branch was modified while all other network components and training configurations remained strictly identical, with the quantitative results summarized in Table </w:t>
      </w:r>
      <w:r>
        <w:rPr>
          <w:rFonts w:hint="eastAsia" w:ascii="Palatino Linotype" w:hAnsi="Palatino Linotype" w:eastAsia="Palatino Linotype" w:cstheme="minorBidi"/>
          <w:b w:val="0"/>
          <w:bCs w:val="0"/>
          <w:i/>
          <w:color w:val="0000FF"/>
          <w:kern w:val="2"/>
          <w:sz w:val="21"/>
          <w:szCs w:val="21"/>
          <w:lang w:val="en-US" w:eastAsia="zh-CN" w:bidi="ar-SA"/>
        </w:rPr>
        <w:t>11</w:t>
      </w:r>
      <w:r>
        <w:rPr>
          <w:rFonts w:hint="default" w:ascii="Palatino Linotype" w:hAnsi="Palatino Linotype" w:eastAsia="Palatino Linotype" w:cstheme="minorBidi"/>
          <w:b w:val="0"/>
          <w:bCs w:val="0"/>
          <w:i/>
          <w:color w:val="0000FF"/>
          <w:kern w:val="2"/>
          <w:sz w:val="21"/>
          <w:szCs w:val="21"/>
          <w:lang w:val="en-US" w:eastAsia="zh-CN" w:bidi="ar-SA"/>
        </w:rPr>
        <w:t>.</w:t>
      </w:r>
    </w:p>
    <w:p w14:paraId="6041537D">
      <w:pPr>
        <w:keepLines/>
        <w:spacing w:before="40" w:after="60" w:line="240" w:lineRule="auto"/>
        <w:jc w:val="center"/>
        <w:rPr>
          <w:rFonts w:hint="default" w:ascii="Times New Roman" w:hAnsi="Times New Roman" w:eastAsia="Times New Roman" w:cstheme="minorBidi"/>
          <w:b w:val="0"/>
          <w:bCs w:val="0"/>
          <w:i/>
          <w:color w:val="0000FF"/>
          <w:kern w:val="2"/>
          <w:sz w:val="21"/>
          <w:szCs w:val="21"/>
          <w:lang w:val="en-US" w:eastAsia="zh-CN" w:bidi="ar-SA"/>
        </w:rPr>
      </w:pPr>
      <w:r>
        <w:rPr>
          <w:rFonts w:ascii="Palatino Linotype" w:hAnsi="Palatino Linotype" w:eastAsia="Palatino Linotype" w:cs="Palatino Linotype"/>
          <w:sz w:val="21"/>
          <w:szCs w:val="21"/>
        </w:rPr>
        <w:drawing>
          <wp:inline distT="0" distB="0" distL="114300" distR="114300">
            <wp:extent cx="5187315" cy="1333500"/>
            <wp:effectExtent l="0" t="0" r="698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5187315" cy="1333500"/>
                    </a:xfrm>
                    <a:prstGeom prst="rect">
                      <a:avLst/>
                    </a:prstGeom>
                    <a:noFill/>
                    <a:ln>
                      <a:noFill/>
                    </a:ln>
                  </pic:spPr>
                </pic:pic>
              </a:graphicData>
            </a:graphic>
          </wp:inline>
        </w:drawing>
      </w:r>
    </w:p>
    <w:p w14:paraId="5E7FDFAA">
      <w:pPr>
        <w:keepNext w:val="0"/>
        <w:keepLines w:val="0"/>
        <w:widowControl/>
        <w:suppressLineNumbers w:val="0"/>
        <w:spacing w:before="0" w:beforeAutospacing="1" w:after="0" w:afterAutospacing="1" w:line="240" w:lineRule="auto"/>
        <w:ind w:left="0" w:right="0"/>
        <w:rPr>
          <w:rFonts w:hint="default" w:ascii="Times New Roman" w:hAnsi="Times New Roman" w:eastAsia="Times New Roman" w:cstheme="minorBidi"/>
          <w:b w:val="0"/>
          <w:bCs w:val="0"/>
          <w:i/>
          <w:color w:val="0000FF"/>
          <w:kern w:val="2"/>
          <w:sz w:val="21"/>
          <w:szCs w:val="21"/>
          <w:lang w:val="en-US" w:eastAsia="zh-CN" w:bidi="ar-SA"/>
        </w:rPr>
      </w:pPr>
      <w:r>
        <w:rPr>
          <w:rFonts w:hint="default" w:ascii="Palatino Linotype" w:hAnsi="Palatino Linotype" w:eastAsia="Palatino Linotype" w:cstheme="minorBidi"/>
          <w:b w:val="0"/>
          <w:bCs w:val="0"/>
          <w:i/>
          <w:color w:val="0000FF"/>
          <w:kern w:val="2"/>
          <w:sz w:val="21"/>
          <w:szCs w:val="21"/>
          <w:lang w:val="en-US" w:eastAsia="zh-CN" w:bidi="ar-SA"/>
        </w:rPr>
        <w:t>As shown in Table 11, FFT achieves the highest OA on all four datasets. Compared with Spatial Conv, Large-kernel Conv, DCT, and DWT, the OA gains of FFT range from 4.59% to 5.87% on Indian Pines, from 1.96% to 4.42% on Salinas, from 0.95% to 6.71% on Pavia University, and from 4.84% to 17.57% on Yangzhou. On the large-scale Yangzhou dataset, FFT exceeds Spatial Conv, Large-kernel Conv, DCT, and DWT by 17.57%, 10.79%, 4.84%, and 5.14%, respectively.</w:t>
      </w:r>
    </w:p>
    <w:p w14:paraId="0E7F1075">
      <w:pPr>
        <w:keepNext w:val="0"/>
        <w:keepLines w:val="0"/>
        <w:widowControl/>
        <w:suppressLineNumbers w:val="0"/>
        <w:spacing w:before="0" w:beforeAutospacing="1" w:after="0" w:afterAutospacing="1" w:line="240" w:lineRule="auto"/>
        <w:ind w:left="0" w:right="0"/>
        <w:rPr>
          <w:rFonts w:hint="default" w:ascii="Times New Roman" w:hAnsi="Times New Roman" w:eastAsia="Times New Roman" w:cstheme="minorBidi"/>
          <w:b w:val="0"/>
          <w:bCs w:val="0"/>
          <w:i/>
          <w:color w:val="0000FF"/>
          <w:kern w:val="2"/>
          <w:sz w:val="21"/>
          <w:szCs w:val="21"/>
          <w:lang w:val="en-US" w:eastAsia="zh-CN" w:bidi="ar-SA"/>
        </w:rPr>
      </w:pPr>
      <w:r>
        <w:rPr>
          <w:rFonts w:hint="default" w:ascii="Palatino Linotype" w:hAnsi="Palatino Linotype" w:eastAsia="Palatino Linotype" w:cstheme="minorBidi"/>
          <w:b w:val="0"/>
          <w:bCs w:val="0"/>
          <w:i/>
          <w:color w:val="0000FF"/>
          <w:kern w:val="2"/>
          <w:sz w:val="21"/>
          <w:szCs w:val="21"/>
          <w:lang w:val="en-US" w:eastAsia="zh-CN" w:bidi="ar-SA"/>
        </w:rPr>
        <w:t>The quantitative comparison shows that effective feature extraction in HSFIM requires both full-image context modeling and amplitude–phase representation. Spatial Conv and Large-kernel Conv mainly capture local spatial patterns and focus primarily on short-range regional relationships. DCT represents global frequency information through cosine bases. FFT further preserves both amplitude and phase, matching the amplitude recalibration and phase preservation operations in FFAB. DWT focuses on localized multi-scale subbands and provides detailed local frequency features. By combining full-image frequency aggregation with amplitude–phase preservation, FFT achieves higher OA than the four alternative feature extractors on all datasets."</w:t>
      </w:r>
    </w:p>
    <w:p w14:paraId="5E780AA2">
      <w:pPr>
        <w:spacing w:after="80" w:line="240" w:lineRule="auto"/>
        <w:rPr>
          <w:rFonts w:hint="default" w:ascii="Times New Roman" w:hAnsi="Times New Roman" w:eastAsia="Times New Roman" w:cstheme="minorBidi"/>
          <w:b w:val="0"/>
          <w:bCs w:val="0"/>
          <w:i/>
          <w:color w:val="0000FF"/>
          <w:kern w:val="2"/>
          <w:sz w:val="21"/>
          <w:szCs w:val="21"/>
          <w:lang w:val="en-US" w:eastAsia="zh-CN" w:bidi="ar-SA"/>
        </w:rPr>
      </w:pPr>
    </w:p>
    <w:p w14:paraId="6F7A4311">
      <w:pPr>
        <w:spacing w:after="80" w:line="240" w:lineRule="auto"/>
        <w:ind w:right="216"/>
        <w:rPr>
          <w:iCs/>
          <w:color w:val="FF0000"/>
          <w:sz w:val="21"/>
          <w:szCs w:val="21"/>
        </w:rPr>
      </w:pPr>
    </w:p>
    <w:p w14:paraId="3591DF50">
      <w:pPr>
        <w:spacing w:after="80" w:line="240" w:lineRule="auto"/>
        <w:ind w:left="360" w:right="216"/>
        <w:rPr>
          <w:i/>
          <w:color w:val="0000FF"/>
          <w:sz w:val="21"/>
          <w:szCs w:val="21"/>
        </w:rPr>
      </w:pPr>
    </w:p>
    <w:p w14:paraId="57857A09">
      <w:pPr>
        <w:keepNext/>
        <w:keepLines/>
        <w:spacing w:before="160" w:after="80" w:line="240" w:lineRule="auto"/>
        <w:ind w:right="216"/>
        <w:jc w:val="both"/>
        <w:rPr>
          <w:sz w:val="21"/>
          <w:szCs w:val="21"/>
        </w:rPr>
      </w:pPr>
      <w:r>
        <w:rPr>
          <w:rFonts w:hint="eastAsia" w:ascii="Palatino Linotype" w:hAnsi="Palatino Linotype" w:eastAsia="Palatino Linotype" w:cs="Palatino Linotype"/>
          <w:b/>
          <w:color w:val="000000"/>
          <w:sz w:val="21"/>
          <w:szCs w:val="21"/>
        </w:rPr>
        <w:t>Comments 3: Please further introduce the meaning and im</w:t>
      </w:r>
      <w:r>
        <w:rPr>
          <w:rFonts w:ascii="Palatino Linotype" w:hAnsi="Palatino Linotype" w:eastAsia="Palatino Linotype" w:cs="Palatino Linotype"/>
          <w:sz w:val="21"/>
          <w:szCs w:val="21"/>
        </w:rPr>
        <w:t>portance of the evaluation indicators in Section 4.1.2.</w:t>
      </w:r>
    </w:p>
    <w:p w14:paraId="1DC1EEF0">
      <w:pPr>
        <w:keepNext w:val="0"/>
        <w:keepLines/>
        <w:widowControl/>
        <w:suppressLineNumbers w:val="0"/>
        <w:spacing w:after="80" w:line="240" w:lineRule="auto"/>
        <w:jc w:val="both"/>
        <w:rPr>
          <w:rFonts w:hint="default" w:ascii="Times New Roman" w:hAnsi="Times New Roman" w:eastAsia="Times New Roman" w:cstheme="minorBidi"/>
          <w:b w:val="0"/>
          <w:bCs w:val="0"/>
          <w:color w:val="FF0000"/>
          <w:kern w:val="2"/>
          <w:sz w:val="21"/>
          <w:szCs w:val="21"/>
          <w:lang w:val="en-US" w:eastAsia="zh-CN" w:bidi="ar-SA"/>
        </w:rPr>
      </w:pPr>
      <w:r>
        <w:rPr>
          <w:rFonts w:hint="eastAsia" w:ascii="Palatino Linotype" w:hAnsi="Palatino Linotype" w:eastAsia="Palatino Linotype" w:cstheme="minorBidi"/>
          <w:b/>
          <w:bCs/>
          <w:color w:val="FF0000"/>
          <w:kern w:val="0"/>
          <w:sz w:val="21"/>
          <w:szCs w:val="21"/>
          <w:lang w:val="en-US" w:eastAsia="zh-CN" w:bidi="ar"/>
        </w:rPr>
        <w:t>Response 3:</w:t>
      </w:r>
      <w:r>
        <w:rPr>
          <w:rFonts w:hint="default" w:ascii="Palatino Linotype" w:hAnsi="Palatino Linotype" w:eastAsia="Palatino Linotype" w:cstheme="minorBidi"/>
          <w:b w:val="0"/>
          <w:bCs w:val="0"/>
          <w:color w:val="FF0000"/>
          <w:kern w:val="2"/>
          <w:sz w:val="21"/>
          <w:szCs w:val="21"/>
          <w:lang w:val="en-US" w:eastAsia="zh-CN" w:bidi="ar-SA"/>
        </w:rPr>
        <w:t>We sincerely thank the reviewer for the constructive suggestion. To provide a more comprehensive evaluation of the hyperspectral image clustering performance, we have expanded Section 4.1.2 to detail the meaning and significance of the selected evaluation metrics. Overall Accuracy (OA) measures the global clustering performance by calculating the proportion of correctly assigned pixels across the entire dataset. Because hyperspectral datasets often exhibit severe class imbalance, OA is easily dominated by majority classes. To address the class imbalance issue, Average Accuracy (AA) is utilized. AA calculates the mean accuracy across all individual categories, ensuring minority classes receive equal representation in the performance assessment. The Kappa coefficient evaluates the agreement between the clustering map and the ground truth while penalizing random chance agreements, thereby ensuring the statistical reliability of the evaluation. Furthermore, Normalized Mutual Information (NMI) measures the mutual dependence between the predicted cluster assignments and the ground truth labels from an information-theoretic perspective. NMI is particularly crucial for unsupervised clustering tasks because NMI evaluates the structural consistency of the partitions independent of absolute label permutations. Finally, to analyze category-specific segmentation errors, Producer Accuracy (PA), and User Accuracy (UA) are included. PA quantifies the omission error by measuring the proportion of actual pixels of a specific class correctly identified by the model. UA quantifies the commission error by calculating the ratio of correctly classified pixels in a specific category to the total number of pixels predicted as the specific category. Integrating OA, AA, Kappa, NMI, PA, and UA enables a multi-dimensional evaluation covering global accuracy, class balance, statistical reliability, information-theoretic structural similarity, and fine-grained error analysis. The detailed definitions and the rationale for selecting the evaluation metrics have been incorporated into Section 4.1.2 of the revised manuscript.</w:t>
      </w:r>
    </w:p>
    <w:p w14:paraId="379520B7">
      <w:pPr>
        <w:keepNext/>
        <w:spacing w:before="80" w:after="40" w:line="240" w:lineRule="auto"/>
        <w:rPr>
          <w:color w:val="FF0000"/>
          <w:sz w:val="21"/>
          <w:szCs w:val="21"/>
        </w:rPr>
      </w:pPr>
      <w:r>
        <w:rPr>
          <w:rFonts w:ascii="Palatino Linotype" w:hAnsi="Palatino Linotype" w:eastAsia="Palatino Linotype" w:cs="Palatino Linotype"/>
          <w:b/>
          <w:color w:val="FF0000"/>
          <w:sz w:val="21"/>
          <w:szCs w:val="21"/>
        </w:rPr>
        <w:t xml:space="preserve">Location in the revised manuscript: </w:t>
      </w:r>
      <w:r>
        <w:rPr>
          <w:rFonts w:ascii="Palatino Linotype" w:hAnsi="Palatino Linotype" w:eastAsia="Palatino Linotype" w:cs="Palatino Linotype"/>
          <w:color w:val="FF0000"/>
          <w:sz w:val="21"/>
          <w:szCs w:val="21"/>
        </w:rPr>
        <w:t>Section 4.1.2 (Evaluation Metrics), replacing the original one-sentence metric list.</w:t>
      </w:r>
    </w:p>
    <w:p w14:paraId="2A7771FB">
      <w:pPr>
        <w:keepNext/>
        <w:spacing w:before="80" w:after="40" w:line="240" w:lineRule="auto"/>
        <w:rPr>
          <w:rFonts w:eastAsia="宋体"/>
          <w:b/>
          <w:color w:val="2E54A1" w:themeColor="accent1" w:themeShade="BF"/>
          <w:sz w:val="21"/>
          <w:szCs w:val="21"/>
        </w:rPr>
      </w:pPr>
      <w:r>
        <w:rPr>
          <w:rFonts w:ascii="Palatino Linotype" w:hAnsi="Palatino Linotype" w:eastAsia="Palatino Linotype" w:cs="Palatino Linotype"/>
          <w:b/>
          <w:color w:val="FF0000"/>
          <w:sz w:val="21"/>
          <w:szCs w:val="21"/>
        </w:rPr>
        <w:t>Revised manuscript text:</w:t>
      </w:r>
    </w:p>
    <w:p w14:paraId="47EE0406">
      <w:pPr>
        <w:spacing w:after="80" w:line="240" w:lineRule="auto"/>
        <w:ind w:left="360" w:right="216"/>
        <w:rPr>
          <w:i/>
          <w:color w:val="0000FF"/>
          <w:sz w:val="21"/>
          <w:szCs w:val="21"/>
        </w:rPr>
      </w:pPr>
      <w:r>
        <w:rPr>
          <w:rFonts w:hint="eastAsia" w:ascii="Palatino Linotype" w:hAnsi="Palatino Linotype" w:eastAsia="Palatino Linotype" w:cs="Palatino Linotype"/>
          <w:i/>
          <w:color w:val="0000FF"/>
          <w:sz w:val="21"/>
          <w:szCs w:val="21"/>
        </w:rPr>
        <w:t>“Quantitative evaluation methods include overall accuracy (OA), mean accuracy (AA), Kappa coefficient, adjusted Rand index (ARI), adjusted mutual information (AMI), normalized mutual information (NMI), homogeneity, completeness, V-measure and Fowlkes-Mallows index (FMI). Producer precision (PA) and user precision (UA) in order to provide category analysis.</w:t>
      </w:r>
    </w:p>
    <w:p w14:paraId="1D76646D">
      <w:pPr>
        <w:spacing w:after="80" w:line="240" w:lineRule="auto"/>
        <w:ind w:left="360" w:right="216"/>
        <w:rPr>
          <w:i/>
          <w:color w:val="0000FF"/>
          <w:sz w:val="21"/>
          <w:szCs w:val="21"/>
        </w:rPr>
      </w:pPr>
      <w:r>
        <w:rPr>
          <w:rFonts w:hint="eastAsia" w:ascii="Palatino Linotype" w:hAnsi="Palatino Linotype" w:eastAsia="Palatino Linotype" w:cs="Palatino Linotype"/>
          <w:i/>
          <w:color w:val="0000FF"/>
          <w:sz w:val="21"/>
          <w:szCs w:val="21"/>
        </w:rPr>
        <w:t>In order to comprehensively evaluate the performance of unsupervised clustering of hyperspectral images, this paper focuses on overall accuracy (OA), mean average accuracy (AA), Kappa coefficient and normalized mutual information (NMI) as the main evaluation indicators, supplemented by producer Accuracy (PA) and user accuracy (UA) for more in-depth category analysis. Since the cluster labels assigned by unsupervised clustering are random during training, the predicted cluster labels are aligned with the reference true labels by optimal one-to-one matching, such as the Hungarian algorithm, before calculating the above classification accuracy based metrics.</w:t>
      </w:r>
    </w:p>
    <w:p w14:paraId="3EC3D63A">
      <w:pPr>
        <w:keepNext w:val="0"/>
        <w:keepLines w:val="0"/>
        <w:widowControl/>
        <w:suppressLineNumbers w:val="0"/>
        <w:spacing w:before="0" w:beforeAutospacing="1" w:after="0" w:afterAutospacing="1" w:line="240" w:lineRule="auto"/>
        <w:ind w:left="399" w:leftChars="190" w:right="0" w:firstLine="0" w:firstLineChars="0"/>
        <w:rPr>
          <w:rFonts w:hint="eastAsia" w:ascii="Times New Roman" w:hAnsi="Times New Roman" w:eastAsia="Times New Roman" w:cstheme="minorBidi"/>
          <w:i/>
          <w:color w:val="0000FF"/>
          <w:kern w:val="2"/>
          <w:sz w:val="21"/>
          <w:szCs w:val="21"/>
          <w:lang w:val="en-US" w:eastAsia="zh-CN" w:bidi="ar-SA"/>
        </w:rPr>
      </w:pPr>
      <w:r>
        <w:rPr>
          <w:rFonts w:hint="eastAsia" w:ascii="Palatino Linotype" w:hAnsi="Palatino Linotype" w:eastAsia="Palatino Linotype" w:cstheme="minorBidi"/>
          <w:i/>
          <w:color w:val="0000FF"/>
          <w:kern w:val="2"/>
          <w:sz w:val="21"/>
          <w:szCs w:val="21"/>
          <w:lang w:val="en-US" w:eastAsia="zh-CN" w:bidi="ar-SA"/>
        </w:rPr>
        <w:t>The selected evaluation metrics comprehensively reflect the clustering effect of the model from multiple complementary dimensions. OA intuitively measures the global clustering accuracy, but the calculation results are easily dominated by large-sample categories. AA assigns the same weight to each class, reflecting the model performance on minority classes and small-sample representative features more fairly. Combining OA and AA effectively evaluates the balance between overall accuracy and class-level performance. The Kappa coefficient further eliminates the bias caused by chance consistency, providing a more objective evaluation of the reliability of the clustering results.Unlike accuracy metrics requiring label matching, NMI directly measures the structural consistency between the predicted partition and the reference label from an information-theoretic perspective. NMI also remains permutation invariant to the cluster label index. Finally, introducing PA and UA allows for a detailed examination of category-specific segmentation errors. PA quantifies missed classifications, and UA quantifies misclassifications. Analyzing PA and UA together comprehensively evaluates the effectiveness and robustness of the clustering results.”</w:t>
      </w:r>
    </w:p>
    <w:p w14:paraId="4480FC6D">
      <w:pPr>
        <w:keepNext/>
        <w:keepLines/>
        <w:spacing w:before="160" w:after="80" w:line="240" w:lineRule="auto"/>
        <w:jc w:val="both"/>
        <w:rPr>
          <w:sz w:val="21"/>
          <w:szCs w:val="21"/>
        </w:rPr>
      </w:pPr>
      <w:r>
        <w:rPr>
          <w:rFonts w:ascii="Palatino Linotype" w:hAnsi="Palatino Linotype" w:eastAsia="Palatino Linotype" w:cs="Palatino Linotype"/>
          <w:b/>
          <w:color w:val="000000"/>
          <w:sz w:val="21"/>
          <w:szCs w:val="21"/>
        </w:rPr>
        <w:t xml:space="preserve">Comments 4: </w:t>
      </w:r>
      <w:r>
        <w:rPr>
          <w:rFonts w:ascii="Palatino Linotype" w:hAnsi="Palatino Linotype" w:eastAsia="Palatino Linotype" w:cs="Palatino Linotype"/>
          <w:sz w:val="21"/>
          <w:szCs w:val="21"/>
        </w:rPr>
        <w:t>Some indicators in Table 6 are inferior. How can this phenomenon be explained?</w:t>
      </w:r>
    </w:p>
    <w:p w14:paraId="2E591BE2">
      <w:pPr>
        <w:keepNext w:val="0"/>
        <w:keepLines/>
        <w:widowControl/>
        <w:suppressLineNumbers w:val="0"/>
        <w:spacing w:after="80" w:line="240" w:lineRule="auto"/>
        <w:jc w:val="both"/>
        <w:rPr>
          <w:rFonts w:ascii="Times New Roman" w:hAnsi="Times New Roman" w:eastAsia="Times New Roman" w:cstheme="minorBidi"/>
          <w:color w:val="FF0000"/>
          <w:kern w:val="2"/>
          <w:sz w:val="21"/>
          <w:szCs w:val="21"/>
          <w:lang w:val="en-US" w:eastAsia="zh-CN" w:bidi="ar-SA"/>
        </w:rPr>
      </w:pPr>
      <w:r>
        <w:rPr>
          <w:rFonts w:hint="eastAsia" w:ascii="Palatino Linotype" w:hAnsi="Palatino Linotype" w:eastAsia="Palatino Linotype" w:cstheme="minorBidi"/>
          <w:b/>
          <w:bCs/>
          <w:color w:val="FF0000"/>
          <w:kern w:val="0"/>
          <w:sz w:val="21"/>
          <w:szCs w:val="21"/>
          <w:lang w:val="en-US" w:eastAsia="zh-CN" w:bidi="ar"/>
        </w:rPr>
        <w:t>Response 4:</w:t>
      </w:r>
      <w:r>
        <w:rPr>
          <w:rFonts w:hint="default" w:ascii="Palatino Linotype" w:hAnsi="Palatino Linotype" w:eastAsia="Palatino Linotype" w:cstheme="minorBidi"/>
          <w:b w:val="0"/>
          <w:bCs w:val="0"/>
          <w:color w:val="FF0000"/>
          <w:kern w:val="2"/>
          <w:sz w:val="21"/>
          <w:szCs w:val="21"/>
          <w:lang w:val="en-US" w:eastAsia="zh-CN" w:bidi="ar-SA"/>
        </w:rPr>
        <w:t>We sincerely thank the reviewer for the careful observation regarding the experimental results in Table 6.</w:t>
      </w:r>
      <w:r>
        <w:rPr>
          <w:rFonts w:hint="eastAsia" w:ascii="Palatino Linotype" w:hAnsi="Palatino Linotype" w:eastAsia="Palatino Linotype" w:cstheme="minorBidi"/>
          <w:b w:val="0"/>
          <w:bCs w:val="0"/>
          <w:color w:val="FF0000"/>
          <w:kern w:val="2"/>
          <w:sz w:val="21"/>
          <w:szCs w:val="21"/>
          <w:lang w:val="en-US" w:eastAsia="zh-CN" w:bidi="ar-SA"/>
        </w:rPr>
        <w:t xml:space="preserve"> </w:t>
      </w:r>
      <w:r>
        <w:rPr>
          <w:rFonts w:hint="default" w:ascii="Palatino Linotype" w:hAnsi="Palatino Linotype" w:eastAsia="Palatino Linotype" w:cstheme="minorBidi"/>
          <w:b w:val="0"/>
          <w:bCs w:val="0"/>
          <w:color w:val="FF0000"/>
          <w:kern w:val="2"/>
          <w:sz w:val="21"/>
          <w:szCs w:val="21"/>
          <w:lang w:val="en-US" w:eastAsia="zh-CN" w:bidi="ar-SA"/>
        </w:rPr>
        <w:t xml:space="preserve">SFI-APD yields slightly lower values in Overall Accuracy, Homogeneity, and Completeness than the top-performing methods. </w:t>
      </w:r>
      <w:r>
        <w:rPr>
          <w:rFonts w:hint="eastAsia" w:ascii="Palatino Linotype" w:hAnsi="Palatino Linotype" w:eastAsia="Palatino Linotype" w:cstheme="minorBidi"/>
          <w:b w:val="0"/>
          <w:bCs w:val="0"/>
          <w:color w:val="FF0000"/>
          <w:kern w:val="2"/>
          <w:sz w:val="21"/>
          <w:szCs w:val="21"/>
          <w:lang w:val="en-US" w:eastAsia="zh-CN" w:bidi="ar-SA"/>
        </w:rPr>
        <w:t>These</w:t>
      </w:r>
      <w:r>
        <w:rPr>
          <w:rFonts w:hint="default" w:ascii="Palatino Linotype" w:hAnsi="Palatino Linotype" w:eastAsia="Palatino Linotype" w:cstheme="minorBidi"/>
          <w:b w:val="0"/>
          <w:bCs w:val="0"/>
          <w:color w:val="FF0000"/>
          <w:kern w:val="2"/>
          <w:sz w:val="21"/>
          <w:szCs w:val="21"/>
          <w:lang w:val="en-US" w:eastAsia="zh-CN" w:bidi="ar-SA"/>
        </w:rPr>
        <w:t xml:space="preserve"> differences mainly reflect inherent trade-offs among clustering metrics, further amplified by severe class imbalance in hyperspectral datasets.</w:t>
      </w:r>
      <w:r>
        <w:rPr>
          <w:rFonts w:hint="eastAsia" w:ascii="Palatino Linotype" w:hAnsi="Palatino Linotype" w:eastAsia="Palatino Linotype" w:cstheme="minorBidi"/>
          <w:b w:val="0"/>
          <w:bCs w:val="0"/>
          <w:color w:val="FF0000"/>
          <w:kern w:val="2"/>
          <w:sz w:val="21"/>
          <w:szCs w:val="21"/>
          <w:lang w:val="en-US" w:eastAsia="zh-CN" w:bidi="ar-SA"/>
        </w:rPr>
        <w:t xml:space="preserve"> </w:t>
      </w:r>
      <w:r>
        <w:rPr>
          <w:rFonts w:hint="default" w:ascii="Palatino Linotype" w:hAnsi="Palatino Linotype" w:eastAsia="Palatino Linotype" w:cstheme="minorBidi"/>
          <w:b w:val="0"/>
          <w:bCs w:val="0"/>
          <w:color w:val="FF0000"/>
          <w:kern w:val="2"/>
          <w:sz w:val="21"/>
          <w:szCs w:val="21"/>
          <w:lang w:val="en-US" w:eastAsia="zh-CN" w:bidi="ar-SA"/>
        </w:rPr>
        <w:t>Following the reviewer’s suggestion, we have added an analysis of the trade-offs among the evaluation metrics in Table 6 to the revised manuscript.</w:t>
      </w:r>
      <w:r>
        <w:rPr>
          <w:rFonts w:hint="eastAsia" w:ascii="Palatino Linotype" w:hAnsi="Palatino Linotype" w:eastAsia="Palatino Linotype" w:cstheme="minorBidi"/>
          <w:b w:val="0"/>
          <w:bCs w:val="0"/>
          <w:color w:val="FF0000"/>
          <w:kern w:val="2"/>
          <w:sz w:val="21"/>
          <w:szCs w:val="21"/>
          <w:lang w:val="en-US" w:eastAsia="zh-CN" w:bidi="ar-SA"/>
        </w:rPr>
        <w:t xml:space="preserve"> T</w:t>
      </w:r>
      <w:r>
        <w:rPr>
          <w:rFonts w:hint="default" w:ascii="Palatino Linotype" w:hAnsi="Palatino Linotype" w:eastAsia="Palatino Linotype" w:cstheme="minorBidi"/>
          <w:b w:val="0"/>
          <w:bCs w:val="0"/>
          <w:color w:val="FF0000"/>
          <w:kern w:val="2"/>
          <w:sz w:val="21"/>
          <w:szCs w:val="21"/>
          <w:lang w:val="en-US" w:eastAsia="zh-CN" w:bidi="ar-SA"/>
        </w:rPr>
        <w:t>he Overall Accuracy metric is heavily dominated by large-area categories, such as Asphalt and Meadows. Using Overall Accuracy (OA) alone may obscure poor clustering performance in minority categories under severe class imbalance.</w:t>
      </w:r>
      <w:r>
        <w:rPr>
          <w:rFonts w:hint="eastAsia" w:ascii="Palatino Linotype" w:hAnsi="Palatino Linotype" w:eastAsia="Palatino Linotype" w:cstheme="minorBidi"/>
          <w:b w:val="0"/>
          <w:bCs w:val="0"/>
          <w:color w:val="FF0000"/>
          <w:kern w:val="2"/>
          <w:sz w:val="21"/>
          <w:szCs w:val="21"/>
          <w:lang w:val="en-US" w:eastAsia="zh-CN" w:bidi="ar-SA"/>
        </w:rPr>
        <w:t xml:space="preserve"> </w:t>
      </w:r>
      <w:r>
        <w:rPr>
          <w:rFonts w:hint="default" w:ascii="Palatino Linotype" w:hAnsi="Palatino Linotype" w:eastAsia="Palatino Linotype" w:cstheme="minorBidi"/>
          <w:b w:val="0"/>
          <w:bCs w:val="0"/>
          <w:color w:val="FF0000"/>
          <w:kern w:val="2"/>
          <w:sz w:val="21"/>
          <w:szCs w:val="21"/>
          <w:lang w:val="en-US" w:eastAsia="zh-CN" w:bidi="ar-SA"/>
        </w:rPr>
        <w:t>For instance, DCN attains slightly higher OA by favoring majority classes</w:t>
      </w:r>
      <w:r>
        <w:rPr>
          <w:rFonts w:hint="eastAsia" w:ascii="Palatino Linotype" w:hAnsi="Palatino Linotype" w:eastAsia="Palatino Linotype" w:cstheme="minorBidi"/>
          <w:b w:val="0"/>
          <w:bCs w:val="0"/>
          <w:color w:val="FF0000"/>
          <w:kern w:val="2"/>
          <w:sz w:val="21"/>
          <w:szCs w:val="21"/>
          <w:lang w:val="en-US" w:eastAsia="zh-CN" w:bidi="ar-SA"/>
        </w:rPr>
        <w:t>. H</w:t>
      </w:r>
      <w:r>
        <w:rPr>
          <w:rFonts w:hint="default" w:ascii="Palatino Linotype" w:hAnsi="Palatino Linotype" w:eastAsia="Palatino Linotype" w:cstheme="minorBidi"/>
          <w:b w:val="0"/>
          <w:bCs w:val="0"/>
          <w:color w:val="FF0000"/>
          <w:kern w:val="2"/>
          <w:sz w:val="21"/>
          <w:szCs w:val="21"/>
          <w:lang w:val="en-US" w:eastAsia="zh-CN" w:bidi="ar-SA"/>
        </w:rPr>
        <w:t>owever, the Average Accuracy (AA) of DCN is markedly lower than the AA of SFI-APD. In contrast, SFI-APD promotes more balanced feature representation across categories, resulting in improved AA and demonstrating stronger generalization across varying spatial scales.</w:t>
      </w:r>
      <w:r>
        <w:rPr>
          <w:rFonts w:hint="eastAsia" w:ascii="Palatino Linotype" w:hAnsi="Palatino Linotype" w:eastAsia="Palatino Linotype" w:cstheme="minorBidi"/>
          <w:b w:val="0"/>
          <w:bCs w:val="0"/>
          <w:color w:val="FF0000"/>
          <w:kern w:val="2"/>
          <w:sz w:val="21"/>
          <w:szCs w:val="21"/>
          <w:lang w:val="en-US" w:eastAsia="zh-CN" w:bidi="ar-SA"/>
        </w:rPr>
        <w:t xml:space="preserve"> In addition</w:t>
      </w:r>
      <w:r>
        <w:rPr>
          <w:rFonts w:hint="default" w:ascii="Palatino Linotype" w:hAnsi="Palatino Linotype" w:eastAsia="Palatino Linotype" w:cstheme="minorBidi"/>
          <w:b w:val="0"/>
          <w:bCs w:val="0"/>
          <w:color w:val="FF0000"/>
          <w:kern w:val="2"/>
          <w:sz w:val="21"/>
          <w:szCs w:val="21"/>
          <w:lang w:val="en-US" w:eastAsia="zh-CN" w:bidi="ar-SA"/>
        </w:rPr>
        <w:t xml:space="preserve">, </w:t>
      </w:r>
      <w:r>
        <w:rPr>
          <w:rFonts w:hint="eastAsia" w:ascii="Palatino Linotype" w:hAnsi="Palatino Linotype" w:eastAsia="Palatino Linotype" w:cstheme="minorBidi"/>
          <w:b w:val="0"/>
          <w:bCs w:val="0"/>
          <w:color w:val="FF0000"/>
          <w:kern w:val="2"/>
          <w:sz w:val="21"/>
          <w:szCs w:val="21"/>
          <w:lang w:val="en-US" w:eastAsia="zh-CN" w:bidi="ar-SA"/>
        </w:rPr>
        <w:t>a</w:t>
      </w:r>
      <w:r>
        <w:rPr>
          <w:rFonts w:hint="default" w:ascii="Palatino Linotype" w:hAnsi="Palatino Linotype" w:eastAsia="Palatino Linotype" w:cstheme="minorBidi"/>
          <w:b w:val="0"/>
          <w:bCs w:val="0"/>
          <w:color w:val="FF0000"/>
          <w:kern w:val="2"/>
          <w:sz w:val="21"/>
          <w:szCs w:val="21"/>
          <w:lang w:val="en-US" w:eastAsia="zh-CN" w:bidi="ar-SA"/>
        </w:rPr>
        <w:t xml:space="preserve"> trade-off exists between Homogeneity and Completeness. High Homogeneity is often associated with class fragmentation, as observed in DSASC, whereas high Completeness tends to indicate category merging, as seen in DEKM. SFI-APD achieves the best Adjusted Rand Index and Fowlkes–Mallows Index, reaching 39.40% and 52.38%, demonstrating strong pairwise clustering stability and competitive balance between Homogeneity and Completeness.</w:t>
      </w:r>
    </w:p>
    <w:p w14:paraId="1D52FB44">
      <w:pPr>
        <w:keepNext w:val="0"/>
        <w:keepLines w:val="0"/>
        <w:widowControl/>
        <w:suppressLineNumbers w:val="0"/>
        <w:spacing w:before="0" w:beforeAutospacing="1" w:after="0" w:afterAutospacing="1" w:line="240" w:lineRule="auto"/>
        <w:ind w:left="0" w:right="0"/>
        <w:rPr>
          <w:rFonts w:hint="default" w:ascii="Times New Roman" w:hAnsi="Times New Roman" w:eastAsia="Times New Roman" w:cstheme="minorBidi"/>
          <w:color w:val="FF0000"/>
          <w:kern w:val="2"/>
          <w:sz w:val="21"/>
          <w:szCs w:val="21"/>
          <w:lang w:val="en-US" w:eastAsia="zh-CN" w:bidi="ar-SA"/>
        </w:rPr>
      </w:pPr>
      <w:r>
        <w:rPr>
          <w:rFonts w:ascii="Palatino Linotype" w:hAnsi="Palatino Linotype" w:eastAsia="Palatino Linotype" w:cstheme="minorBidi"/>
          <w:color w:val="FF0000"/>
          <w:kern w:val="2"/>
          <w:sz w:val="21"/>
          <w:szCs w:val="21"/>
          <w:lang w:val="en-US" w:eastAsia="zh-CN" w:bidi="ar-SA"/>
        </w:rPr>
        <w:t>Consistent with the quantitative results, the clustering map in Fig. 7(k) shows that</w:t>
      </w:r>
      <w:r>
        <w:rPr>
          <w:rFonts w:hint="eastAsia" w:ascii="Palatino Linotype" w:hAnsi="Palatino Linotype" w:eastAsia="Palatino Linotype" w:cstheme="minorBidi"/>
          <w:color w:val="FF0000"/>
          <w:kern w:val="2"/>
          <w:sz w:val="21"/>
          <w:szCs w:val="21"/>
          <w:lang w:val="en-US" w:eastAsia="zh-CN" w:bidi="ar-SA"/>
        </w:rPr>
        <w:t xml:space="preserve"> </w:t>
      </w:r>
      <w:r>
        <w:rPr>
          <w:rFonts w:ascii="Palatino Linotype" w:hAnsi="Palatino Linotype" w:eastAsia="Palatino Linotype" w:cstheme="minorBidi"/>
          <w:color w:val="FF0000"/>
          <w:kern w:val="2"/>
          <w:sz w:val="21"/>
          <w:szCs w:val="21"/>
          <w:lang w:val="en-US" w:eastAsia="zh-CN" w:bidi="ar-SA"/>
        </w:rPr>
        <w:t>SFI-APD preserves the main road network and large homogeneous regions, with minor confusion in spectrally similar and shadowed areas.The results indicate that the slight reductions in Overall Accuracy, Homogeneity, and Completeness arise from local class merging or fragmentation in challenging regions rather than a general loss of spatial structure.</w:t>
      </w:r>
      <w:r>
        <w:rPr>
          <w:rFonts w:hint="eastAsia" w:ascii="Palatino Linotype" w:hAnsi="Palatino Linotype" w:eastAsia="Palatino Linotype" w:cstheme="minorBidi"/>
          <w:color w:val="FF0000"/>
          <w:kern w:val="2"/>
          <w:sz w:val="21"/>
          <w:szCs w:val="21"/>
          <w:lang w:val="en-US" w:eastAsia="zh-CN" w:bidi="ar-SA"/>
        </w:rPr>
        <w:t xml:space="preserve"> </w:t>
      </w:r>
      <w:r>
        <w:rPr>
          <w:rFonts w:ascii="Palatino Linotype" w:hAnsi="Palatino Linotype" w:eastAsia="Palatino Linotype" w:cstheme="minorBidi"/>
          <w:color w:val="FF0000"/>
          <w:kern w:val="2"/>
          <w:sz w:val="21"/>
          <w:szCs w:val="21"/>
          <w:lang w:val="en-US" w:eastAsia="zh-CN" w:bidi="ar-SA"/>
        </w:rPr>
        <w:t xml:space="preserve">SFI-APD successfully balances the aforementioned trade-offs by achieving the highest scores in comprehensive metrics, including Adjusted Rand Index, Adjusted Mutual Information, Normalized Mutual Information, V-measure, and Fowlkes–Mallows Index. The superior performance in the comprehensive metrics proves SFI-APD maintains an optimal </w:t>
      </w:r>
      <w:r>
        <w:rPr>
          <w:rFonts w:hint="eastAsia" w:ascii="Palatino Linotype" w:hAnsi="Palatino Linotype" w:eastAsia="Palatino Linotype" w:cstheme="minorBidi"/>
          <w:color w:val="FF0000"/>
          <w:kern w:val="2"/>
          <w:sz w:val="21"/>
          <w:szCs w:val="21"/>
          <w:lang w:val="en-US" w:eastAsia="zh-CN" w:bidi="ar-SA"/>
        </w:rPr>
        <w:t>balance</w:t>
      </w:r>
      <w:r>
        <w:rPr>
          <w:rFonts w:ascii="Palatino Linotype" w:hAnsi="Palatino Linotype" w:eastAsia="Palatino Linotype" w:cstheme="minorBidi"/>
          <w:color w:val="FF0000"/>
          <w:kern w:val="2"/>
          <w:sz w:val="21"/>
          <w:szCs w:val="21"/>
          <w:lang w:val="en-US" w:eastAsia="zh-CN" w:bidi="ar-SA"/>
        </w:rPr>
        <w:t xml:space="preserve"> between cluster purity and category integrity. </w:t>
      </w:r>
      <w:r>
        <w:rPr>
          <w:rFonts w:hint="eastAsia" w:ascii="Palatino Linotype" w:hAnsi="Palatino Linotype" w:eastAsia="Palatino Linotype" w:cstheme="minorBidi"/>
          <w:color w:val="FF0000"/>
          <w:kern w:val="2"/>
          <w:sz w:val="21"/>
          <w:szCs w:val="21"/>
          <w:lang w:val="en-US" w:eastAsia="zh-CN" w:bidi="ar-SA"/>
        </w:rPr>
        <w:t>And the e</w:t>
      </w:r>
      <w:r>
        <w:rPr>
          <w:rFonts w:ascii="Palatino Linotype" w:hAnsi="Palatino Linotype" w:eastAsia="Palatino Linotype" w:cstheme="minorBidi"/>
          <w:color w:val="FF0000"/>
          <w:kern w:val="2"/>
          <w:sz w:val="21"/>
          <w:szCs w:val="21"/>
          <w:lang w:val="en-US" w:eastAsia="zh-CN" w:bidi="ar-SA"/>
        </w:rPr>
        <w:t>xisting literature on hyperspectral image clustering confirms the difficulty of maximizing all evaluation metrics simultaneously due to complex spectral mixing and fuzzy category boundaries. The comprehensive results in Table 6 validate the robust, balanced, and highly consistent clustering capability of the proposed SFI-APD</w:t>
      </w:r>
      <w:r>
        <w:rPr>
          <w:rFonts w:hint="eastAsia" w:ascii="Palatino Linotype" w:hAnsi="Palatino Linotype" w:eastAsia="Palatino Linotype" w:cstheme="minorBidi"/>
          <w:color w:val="FF0000"/>
          <w:kern w:val="2"/>
          <w:sz w:val="21"/>
          <w:szCs w:val="21"/>
          <w:lang w:val="en-US" w:eastAsia="zh-CN" w:bidi="ar-SA"/>
        </w:rPr>
        <w:t>.</w:t>
      </w:r>
    </w:p>
    <w:p w14:paraId="099AE91D">
      <w:pPr>
        <w:keepNext/>
        <w:spacing w:after="60" w:line="240" w:lineRule="auto"/>
        <w:rPr>
          <w:color w:val="FF0000"/>
          <w:sz w:val="21"/>
          <w:szCs w:val="21"/>
        </w:rPr>
      </w:pPr>
    </w:p>
    <w:p w14:paraId="4DD71BBB">
      <w:pPr>
        <w:keepNext/>
        <w:keepLines/>
        <w:spacing w:before="40" w:after="60" w:line="240" w:lineRule="auto"/>
        <w:jc w:val="center"/>
        <w:rPr>
          <w:sz w:val="21"/>
          <w:szCs w:val="21"/>
        </w:rPr>
      </w:pPr>
      <w:r>
        <w:rPr>
          <w:rFonts w:ascii="Palatino Linotype" w:hAnsi="Palatino Linotype" w:eastAsia="Palatino Linotype" w:cs="Palatino Linotype"/>
          <w:sz w:val="21"/>
          <w:szCs w:val="21"/>
        </w:rPr>
        <w:drawing>
          <wp:inline distT="0" distB="0" distL="114300" distR="114300">
            <wp:extent cx="4521200" cy="1752600"/>
            <wp:effectExtent l="0" t="0" r="0" b="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2"/>
                    <a:stretch>
                      <a:fillRect/>
                    </a:stretch>
                  </pic:blipFill>
                  <pic:spPr>
                    <a:xfrm>
                      <a:off x="0" y="0"/>
                      <a:ext cx="4521200" cy="1752600"/>
                    </a:xfrm>
                    <a:prstGeom prst="rect">
                      <a:avLst/>
                    </a:prstGeom>
                    <a:noFill/>
                    <a:ln>
                      <a:noFill/>
                    </a:ln>
                  </pic:spPr>
                </pic:pic>
              </a:graphicData>
            </a:graphic>
          </wp:inline>
        </w:drawing>
      </w:r>
    </w:p>
    <w:p w14:paraId="43EB3A2C">
      <w:pPr>
        <w:keepNext/>
        <w:keepLines/>
        <w:spacing w:before="40" w:after="60" w:line="240" w:lineRule="auto"/>
        <w:jc w:val="center"/>
        <w:rPr>
          <w:sz w:val="21"/>
          <w:szCs w:val="21"/>
        </w:rPr>
      </w:pPr>
      <w:r>
        <w:rPr>
          <w:rFonts w:ascii="Palatino Linotype" w:hAnsi="Palatino Linotype" w:eastAsia="Palatino Linotype" w:cs="Palatino Linotype"/>
          <w:sz w:val="21"/>
          <w:szCs w:val="21"/>
        </w:rPr>
        <w:drawing>
          <wp:inline distT="0" distB="0" distL="114300" distR="114300">
            <wp:extent cx="5016500" cy="63500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tretch>
                      <a:fillRect/>
                    </a:stretch>
                  </pic:blipFill>
                  <pic:spPr>
                    <a:xfrm>
                      <a:off x="0" y="0"/>
                      <a:ext cx="5016500" cy="6350000"/>
                    </a:xfrm>
                    <a:prstGeom prst="rect">
                      <a:avLst/>
                    </a:prstGeom>
                    <a:noFill/>
                    <a:ln>
                      <a:noFill/>
                    </a:ln>
                  </pic:spPr>
                </pic:pic>
              </a:graphicData>
            </a:graphic>
          </wp:inline>
        </w:drawing>
      </w:r>
    </w:p>
    <w:p w14:paraId="52FAAE94">
      <w:pPr>
        <w:keepNext/>
        <w:keepLines w:val="0"/>
        <w:widowControl/>
        <w:suppressLineNumbers w:val="0"/>
        <w:spacing w:before="80" w:beforeAutospacing="1" w:after="40" w:afterAutospacing="1" w:line="240" w:lineRule="auto"/>
        <w:ind w:left="0" w:right="0"/>
        <w:rPr>
          <w:rFonts w:hint="eastAsia" w:ascii="Palatino Linotype" w:hAnsi="Palatino Linotype" w:eastAsia="Palatino Linotype" w:cstheme="minorBidi"/>
          <w:b/>
          <w:bCs/>
          <w:i/>
          <w:iCs/>
          <w:color w:val="FF0000"/>
          <w:kern w:val="2"/>
          <w:sz w:val="21"/>
          <w:szCs w:val="21"/>
          <w:lang w:val="en-US" w:eastAsia="zh-CN" w:bidi="ar-SA"/>
        </w:rPr>
      </w:pPr>
    </w:p>
    <w:p w14:paraId="27329DAF">
      <w:pPr>
        <w:keepNext/>
        <w:keepLines w:val="0"/>
        <w:widowControl/>
        <w:suppressLineNumbers w:val="0"/>
        <w:spacing w:before="80" w:beforeAutospacing="1" w:after="40" w:afterAutospacing="1" w:line="240" w:lineRule="auto"/>
        <w:ind w:left="0" w:right="0"/>
        <w:rPr>
          <w:sz w:val="21"/>
          <w:szCs w:val="21"/>
        </w:rPr>
      </w:pPr>
      <w:r>
        <w:rPr>
          <w:rFonts w:hint="eastAsia" w:ascii="Palatino Linotype" w:hAnsi="Palatino Linotype" w:eastAsia="Palatino Linotype" w:cstheme="minorBidi"/>
          <w:b/>
          <w:bCs/>
          <w:i w:val="0"/>
          <w:iCs w:val="0"/>
          <w:color w:val="FF0000"/>
          <w:kern w:val="2"/>
          <w:sz w:val="21"/>
          <w:szCs w:val="21"/>
          <w:lang w:val="en-US" w:eastAsia="zh-CN" w:bidi="ar-SA"/>
        </w:rPr>
        <w:t>References</w:t>
      </w:r>
      <w:r>
        <w:rPr>
          <w:rFonts w:hint="eastAsia" w:ascii="Palatino Linotype" w:hAnsi="Palatino Linotype" w:eastAsia="Palatino Linotype" w:cstheme="minorBidi"/>
          <w:b/>
          <w:bCs/>
          <w:i/>
          <w:iCs/>
          <w:color w:val="FF0000"/>
          <w:kern w:val="2"/>
          <w:sz w:val="21"/>
          <w:szCs w:val="21"/>
          <w:lang w:val="en-US" w:eastAsia="zh-CN" w:bidi="ar-SA"/>
        </w:rPr>
        <w:t>:</w:t>
      </w:r>
    </w:p>
    <w:p w14:paraId="50FA6DB7">
      <w:pPr>
        <w:keepNext/>
        <w:spacing w:after="60" w:line="240" w:lineRule="auto"/>
        <w:rPr>
          <w:color w:val="FF0000"/>
          <w:sz w:val="21"/>
          <w:szCs w:val="21"/>
        </w:rPr>
      </w:pPr>
      <w:r>
        <w:rPr>
          <w:rFonts w:hint="eastAsia" w:ascii="Palatino Linotype" w:hAnsi="Palatino Linotype" w:eastAsia="Palatino Linotype" w:cs="Palatino Linotype"/>
          <w:color w:val="FF0000"/>
          <w:sz w:val="21"/>
          <w:szCs w:val="21"/>
        </w:rPr>
        <w:t xml:space="preserve">[1] </w:t>
      </w:r>
      <w:r>
        <w:rPr>
          <w:rFonts w:ascii="Palatino Linotype" w:hAnsi="Palatino Linotype" w:eastAsia="Palatino Linotype" w:cs="Palatino Linotype"/>
          <w:color w:val="FF0000"/>
          <w:sz w:val="21"/>
          <w:szCs w:val="21"/>
        </w:rPr>
        <w:t>H. Jiang, Q. Gao, H. Chen, and B. Zhou, “Center-Pixel Guided Dual-Path Multihead Attention Fusion Transformer for Hyperspectral Image Classification,” IEEE Transactions on Geoscience and Remote Sensing, vol. 64, Art. no. 5505918, pp. 1–18, 2026, doi: 10.1109/TGRS.2026.3662353.</w:t>
      </w:r>
    </w:p>
    <w:p w14:paraId="19EAD138">
      <w:pPr>
        <w:keepNext/>
        <w:spacing w:after="60" w:line="240" w:lineRule="auto"/>
        <w:rPr>
          <w:color w:val="FF0000"/>
          <w:sz w:val="21"/>
          <w:szCs w:val="21"/>
        </w:rPr>
      </w:pPr>
      <w:r>
        <w:rPr>
          <w:rFonts w:hint="eastAsia" w:ascii="Palatino Linotype" w:hAnsi="Palatino Linotype" w:eastAsia="Palatino Linotype" w:cs="Palatino Linotype"/>
          <w:color w:val="FF0000"/>
          <w:sz w:val="21"/>
          <w:szCs w:val="21"/>
        </w:rPr>
        <w:t xml:space="preserve">[2] </w:t>
      </w:r>
      <w:r>
        <w:rPr>
          <w:rFonts w:ascii="Palatino Linotype" w:hAnsi="Palatino Linotype" w:eastAsia="Palatino Linotype" w:cs="Palatino Linotype"/>
          <w:color w:val="FF0000"/>
          <w:sz w:val="21"/>
          <w:szCs w:val="21"/>
        </w:rPr>
        <w:t>F. Luo, Y. Liu, Y. Duan, T. Guo, L. Zhang, and B. Du, “SDST: Self-Supervised Double-Structure Transformer for Hyperspectral Images Clustering,” IEEE Transactions on Geoscience and Remote Sensing, vol. 62, Art. no. 5511614, pp. 1–14, 2024, doi: 10.1109/TGRS.2024.3374597.</w:t>
      </w:r>
    </w:p>
    <w:p w14:paraId="32A4DC55">
      <w:pPr>
        <w:keepNext/>
        <w:spacing w:before="80" w:after="40" w:line="240" w:lineRule="auto"/>
        <w:rPr>
          <w:rFonts w:hint="default" w:ascii="Times New Roman" w:hAnsi="Times New Roman" w:eastAsia="Times New Roman" w:cstheme="minorBidi"/>
          <w:b/>
          <w:bCs/>
          <w:iCs/>
          <w:color w:val="FF0000"/>
          <w:kern w:val="2"/>
          <w:sz w:val="21"/>
          <w:szCs w:val="21"/>
          <w:lang w:val="en-US" w:eastAsia="zh-CN" w:bidi="ar-SA"/>
        </w:rPr>
      </w:pPr>
      <w:r>
        <w:rPr>
          <w:rFonts w:hint="default" w:ascii="Palatino Linotype" w:hAnsi="Palatino Linotype" w:eastAsia="Palatino Linotype" w:cstheme="minorBidi"/>
          <w:b/>
          <w:bCs/>
          <w:iCs/>
          <w:color w:val="FF0000"/>
          <w:kern w:val="2"/>
          <w:sz w:val="21"/>
          <w:szCs w:val="21"/>
          <w:lang w:val="en-US" w:eastAsia="zh-CN" w:bidi="ar-SA"/>
        </w:rPr>
        <w:t>Location in the revised manuscript:</w:t>
      </w:r>
    </w:p>
    <w:p w14:paraId="5284F632">
      <w:pPr>
        <w:keepNext/>
        <w:spacing w:after="60" w:line="240" w:lineRule="auto"/>
        <w:rPr>
          <w:rFonts w:hint="default"/>
          <w:color w:val="FF0000"/>
          <w:sz w:val="21"/>
          <w:szCs w:val="21"/>
          <w:lang w:val="en-US" w:eastAsia="zh-CN"/>
        </w:rPr>
      </w:pPr>
      <w:r>
        <w:rPr>
          <w:rFonts w:ascii="Palatino Linotype" w:hAnsi="Palatino Linotype" w:eastAsia="Palatino Linotype" w:cs="Palatino Linotype"/>
          <w:color w:val="FF0000"/>
          <w:sz w:val="21"/>
          <w:szCs w:val="21"/>
        </w:rPr>
        <w:t>Section IV.B, “Results on Pavia University,” immediately after the quantitative analysis of Table 6 and before the class-wise clustering performance analysis and discussion of Fig. 7.</w:t>
      </w:r>
    </w:p>
    <w:p w14:paraId="3D86AA0F">
      <w:pPr>
        <w:keepNext/>
        <w:spacing w:before="80" w:after="40" w:line="240" w:lineRule="auto"/>
        <w:rPr>
          <w:rFonts w:eastAsia="宋体"/>
          <w:b/>
          <w:color w:val="2E54A1" w:themeColor="accent1" w:themeShade="BF"/>
          <w:sz w:val="21"/>
          <w:szCs w:val="21"/>
        </w:rPr>
      </w:pPr>
      <w:r>
        <w:rPr>
          <w:rFonts w:ascii="Palatino Linotype" w:hAnsi="Palatino Linotype" w:eastAsia="Palatino Linotype" w:cs="Palatino Linotype"/>
          <w:b/>
          <w:color w:val="FF0000"/>
          <w:sz w:val="21"/>
          <w:szCs w:val="21"/>
        </w:rPr>
        <w:t>Revised manuscript text:</w:t>
      </w:r>
    </w:p>
    <w:p w14:paraId="6121187D">
      <w:pPr>
        <w:spacing w:after="80" w:line="240" w:lineRule="auto"/>
        <w:ind w:left="360" w:right="216"/>
        <w:rPr>
          <w:rFonts w:hint="eastAsia" w:eastAsia="宋体"/>
          <w:i/>
          <w:color w:val="0000FF"/>
          <w:sz w:val="21"/>
          <w:szCs w:val="21"/>
          <w:lang w:eastAsia="zh-CN"/>
        </w:rPr>
      </w:pPr>
      <w:r>
        <w:rPr>
          <w:rFonts w:hint="eastAsia" w:ascii="Palatino Linotype" w:hAnsi="Palatino Linotype" w:eastAsia="Palatino Linotype" w:cs="Palatino Linotype"/>
          <w:i/>
          <w:color w:val="0000FF"/>
          <w:sz w:val="21"/>
          <w:szCs w:val="21"/>
          <w:lang w:eastAsia="zh-CN"/>
        </w:rPr>
        <w:t>“The slightly lower values of SFI-APD on several individual metrics reflect differences in evaluation priorities. Since OA naturally favors dominant classes, DCN achieves a marginally higher OA (55.03%) by covering large Asphalt and Meadows regions, but yields an AA 2.93% lower than SFI-APD. Furthermore, Homogeneity and Completeness present a strict trade-off. Extremely high Homogeneity typically reflects class fragmentation. Extremely high Completeness often indicates excessive category merging. SFI-APD successfully balances the trade-off between Homogeneity and Completeness, yielding reliable structural assignments confirmed by superior ARI and FMI scores. Despite not achieving the absolute highest Homogeneity or Completeness, SFI-APD obtains the best ARI (39.40%) and FMI (52.38%), indicating robust clustering coupled with competitive performance across other metrics.”</w:t>
      </w:r>
    </w:p>
    <w:p w14:paraId="0AF12B09">
      <w:pPr>
        <w:keepNext/>
        <w:spacing w:after="60" w:line="240" w:lineRule="auto"/>
        <w:rPr>
          <w:color w:val="FF0000"/>
          <w:sz w:val="21"/>
          <w:szCs w:val="21"/>
        </w:rPr>
      </w:pPr>
    </w:p>
    <w:p w14:paraId="0912F2F2">
      <w:pPr>
        <w:keepNext/>
        <w:spacing w:before="120" w:after="80" w:line="240" w:lineRule="auto"/>
        <w:rPr>
          <w:sz w:val="21"/>
          <w:szCs w:val="21"/>
        </w:rPr>
      </w:pPr>
    </w:p>
    <w:p w14:paraId="2B62F5CB">
      <w:pPr>
        <w:spacing w:after="80" w:line="240" w:lineRule="auto"/>
        <w:rPr>
          <w:rFonts w:eastAsia="宋体"/>
          <w:sz w:val="21"/>
          <w:szCs w:val="21"/>
        </w:rPr>
      </w:pPr>
    </w:p>
    <w:sectPr>
      <w:footerReference r:id="rId5" w:type="default"/>
      <w:pgSz w:w="11906" w:h="16838"/>
      <w:pgMar w:top="1418" w:right="1531" w:bottom="1077" w:left="1531" w:header="1021" w:footer="851"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alatino Linotype">
    <w:panose1 w:val="02040502050505030304"/>
    <w:charset w:val="00"/>
    <w:family w:val="auto"/>
    <w:pitch w:val="default"/>
    <w:sig w:usb0="E0000287" w:usb1="40000013" w:usb2="00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D2B44">
    <w:pPr>
      <w:jc w:val="center"/>
    </w:pPr>
    <w:r>
      <w:rPr>
        <w:rFonts w:ascii="Palatino Linotype" w:hAnsi="Palatino Linotype" w:eastAsia="Palatino Linotype" w:cs="Palatino Linotype"/>
        <w:sz w:val="18"/>
      </w:rPr>
      <w:fldChar w:fldCharType="begin"/>
    </w:r>
    <w:r>
      <w:rPr>
        <w:rFonts w:ascii="Palatino Linotype" w:hAnsi="Palatino Linotype" w:eastAsia="Palatino Linotype" w:cs="Palatino Linotype"/>
        <w:sz w:val="18"/>
      </w:rPr>
      <w:instrText xml:space="preserve"> PAGE </w:instrText>
    </w:r>
    <w:r>
      <w:rPr>
        <w:rFonts w:ascii="Palatino Linotype" w:hAnsi="Palatino Linotype" w:eastAsia="Palatino Linotype" w:cs="Palatino Linotype"/>
        <w:sz w:val="18"/>
      </w:rPr>
      <w:fldChar w:fldCharType="separate"/>
    </w:r>
    <w:r>
      <w:rPr>
        <w:rFonts w:ascii="Palatino Linotype" w:hAnsi="Palatino Linotype" w:eastAsia="Palatino Linotype" w:cs="Palatino Linotype"/>
        <w:sz w:val="18"/>
      </w:rPr>
      <w:t>1</w:t>
    </w:r>
    <w:r>
      <w:rPr>
        <w:rFonts w:ascii="Palatino Linotype" w:hAnsi="Palatino Linotype" w:eastAsia="Palatino Linotype" w:cs="Palatino Linotype"/>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72064D6"/>
    <w:rsid w:val="001108FE"/>
    <w:rsid w:val="009431ED"/>
    <w:rsid w:val="0096341E"/>
    <w:rsid w:val="009F518E"/>
    <w:rsid w:val="00BA3A05"/>
    <w:rsid w:val="00BB7B9E"/>
    <w:rsid w:val="00CA57F6"/>
    <w:rsid w:val="149F50E4"/>
    <w:rsid w:val="20B42736"/>
    <w:rsid w:val="21C612F9"/>
    <w:rsid w:val="21EF6C3A"/>
    <w:rsid w:val="229E7CD7"/>
    <w:rsid w:val="22FD3574"/>
    <w:rsid w:val="29E36E45"/>
    <w:rsid w:val="2FB36551"/>
    <w:rsid w:val="35D61BDE"/>
    <w:rsid w:val="40F40090"/>
    <w:rsid w:val="4A2E7440"/>
    <w:rsid w:val="4BFD41B8"/>
    <w:rsid w:val="4FEB23D4"/>
    <w:rsid w:val="672064D6"/>
    <w:rsid w:val="6C61455E"/>
    <w:rsid w:val="7FA732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uto"/>
      <w:jc w:val="both"/>
    </w:pPr>
    <w:rPr>
      <w:rFonts w:ascii="Palatino Linotype" w:hAnsi="Palatino Linotype" w:eastAsia="Palatino Linotype" w:cstheme="minorBidi"/>
      <w:kern w:val="2"/>
      <w:sz w:val="21"/>
      <w:szCs w:val="21"/>
      <w:lang w:val="en-US" w:eastAsia="zh-CN" w:bidi="ar-SA"/>
    </w:rPr>
  </w:style>
  <w:style w:type="paragraph" w:styleId="2">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6">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4">
    <w:name w:val="Normal (Web)"/>
    <w:basedOn w:val="1"/>
    <w:qFormat/>
    <w:uiPriority w:val="0"/>
    <w:pPr>
      <w:spacing w:beforeAutospacing="1" w:afterAutospacing="1"/>
      <w:jc w:val="left"/>
    </w:pPr>
    <w:rPr>
      <w:rFonts w:cs="Times New Roman"/>
      <w:kern w:val="0"/>
      <w:sz w:val="24"/>
    </w:rPr>
  </w:style>
  <w:style w:type="character" w:styleId="7">
    <w:name w:val="Strong"/>
    <w:basedOn w:val="6"/>
    <w:qFormat/>
    <w:uiPriority w:val="0"/>
    <w:rPr>
      <w:b/>
    </w:rPr>
  </w:style>
  <w:style w:type="character" w:styleId="8">
    <w:name w:val="Emphasis"/>
    <w:basedOn w:val="6"/>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2252</Words>
  <Characters>14550</Characters>
  <Lines>90</Lines>
  <Paragraphs>25</Paragraphs>
  <TotalTime>9</TotalTime>
  <ScaleCrop>false</ScaleCrop>
  <LinksUpToDate>false</LinksUpToDate>
  <CharactersWithSpaces>16762</CharactersWithSpaces>
  <Application>WPS Office_12.1.0.26391_F1E327BC-269C-435d-A152-05C5408002CA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2026-07-24T10:47:00Z</dcterms:created>
  <dc:creator>WPS_1607247793</dc:creator>
  <cp:lastModifiedBy>WPS_1607247793</cp:lastModifiedBy>
  <dcterms:modified xsi:type="dcterms:W3CDTF">2026-07-27T04:39:00Z</dcterms:modified>
  <dc:subject>Point-by-point response formatted according to the supplied template</dc:subject>
  <dc:title>Response to Reviewer Comments</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2052-12.1.0.26391</vt:lpwstr>
  </property>
  <property fmtid="{D5CDD505-2E9C-101B-9397-08002B2CF9AE}" pid="3" name="ICV">
    <vt:lpwstr>0EAE860901B9494782D2859693E0523B_13</vt:lpwstr>
  </property>
  <property fmtid="{D5CDD505-2E9C-101B-9397-08002B2CF9AE}" pid="4" name="KSOTemplateDocerSaveRecord">
    <vt:lpwstr>eyJoZGlkIjoiNzg4ZGNlNjQxMDVlZWY0YmJjZTQ4YmNjOGVmY2YyNzkiLCJ1c2VySWQiOiIxMTQ5ODU0Mjc4In0=</vt:lpwstr>
  </property>
</Properties>
</file>