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824" w:rsidRPr="00DE1824" w:rsidRDefault="00DE1824" w:rsidP="00DE1824">
      <w:pPr>
        <w:widowControl/>
        <w:spacing w:before="100" w:beforeAutospacing="1" w:after="100" w:afterAutospacing="1"/>
        <w:jc w:val="left"/>
        <w:rPr>
          <w:rFonts w:ascii="宋体" w:eastAsia="宋体" w:hAnsi="宋体" w:cs="宋体"/>
          <w:kern w:val="0"/>
          <w:sz w:val="24"/>
          <w:szCs w:val="24"/>
        </w:rPr>
      </w:pPr>
      <w:r w:rsidRPr="00DE1824">
        <w:rPr>
          <w:rFonts w:ascii="宋体" w:eastAsia="宋体" w:hAnsi="宋体" w:cs="宋体"/>
          <w:kern w:val="0"/>
          <w:sz w:val="24"/>
          <w:szCs w:val="24"/>
        </w:rPr>
        <w:t>为了对我们的服务可用性提供一些透明性，我们每月发布我们的平台正常运行时间。正常运行时间是根据我们的服务水平协议计算的，不包括计划或紧急维护以及由于超出我们合理控制的情况造成的不可用，包括由于客户或其用户的行为或不作为、互联网服务提供商的故障或延误、不属于 Coupa 或不可抗力事件的设备或系统的故障或故障。</w:t>
      </w:r>
    </w:p>
    <w:p w:rsidR="00DE1824" w:rsidRPr="00DE1824" w:rsidRDefault="00DE1824" w:rsidP="00DE1824">
      <w:pPr>
        <w:widowControl/>
        <w:spacing w:before="100" w:beforeAutospacing="1" w:after="100" w:afterAutospacing="1"/>
        <w:jc w:val="left"/>
        <w:rPr>
          <w:rFonts w:ascii="宋体" w:eastAsia="宋体" w:hAnsi="宋体" w:cs="宋体"/>
          <w:kern w:val="0"/>
          <w:sz w:val="24"/>
          <w:szCs w:val="24"/>
        </w:rPr>
      </w:pPr>
      <w:r w:rsidRPr="00DE1824">
        <w:rPr>
          <w:rFonts w:ascii="宋体" w:eastAsia="宋体" w:hAnsi="宋体" w:cs="宋体"/>
          <w:kern w:val="0"/>
          <w:sz w:val="24"/>
          <w:szCs w:val="24"/>
        </w:rPr>
        <w:t>Coupa 通过记录用户请求进入 app server 和响应退出 app server 时的时间戳来计算事务速度（以秒为单位）；这些时间戳之间的区别是事务速度。在过去的一个月中，跨所有实例的所有事务的速度都是平均的。</w:t>
      </w:r>
    </w:p>
    <w:tbl>
      <w:tblPr>
        <w:tblW w:w="3750" w:type="pct"/>
        <w:tblCellSpacing w:w="5" w:type="dxa"/>
        <w:tblCellMar>
          <w:top w:w="10" w:type="dxa"/>
          <w:left w:w="10" w:type="dxa"/>
          <w:bottom w:w="10" w:type="dxa"/>
          <w:right w:w="10" w:type="dxa"/>
        </w:tblCellMar>
        <w:tblLook w:val="04A0" w:firstRow="1" w:lastRow="0" w:firstColumn="1" w:lastColumn="0" w:noHBand="0" w:noVBand="1"/>
      </w:tblPr>
      <w:tblGrid>
        <w:gridCol w:w="1692"/>
        <w:gridCol w:w="1929"/>
        <w:gridCol w:w="2609"/>
      </w:tblGrid>
      <w:tr w:rsidR="00DE1824" w:rsidRPr="00DE1824" w:rsidTr="00DE1824">
        <w:trPr>
          <w:tblHeader/>
          <w:tblCellSpacing w:w="5" w:type="dxa"/>
        </w:trPr>
        <w:tc>
          <w:tcPr>
            <w:tcW w:w="3390" w:type="dxa"/>
            <w:vAlign w:val="center"/>
            <w:hideMark/>
          </w:tcPr>
          <w:p w:rsidR="00DE1824" w:rsidRPr="00DE1824" w:rsidRDefault="00DE1824" w:rsidP="00DE1824">
            <w:pPr>
              <w:widowControl/>
              <w:jc w:val="center"/>
              <w:rPr>
                <w:rFonts w:ascii="宋体" w:eastAsia="宋体" w:hAnsi="宋体" w:cs="宋体"/>
                <w:b/>
                <w:bCs/>
                <w:kern w:val="0"/>
                <w:sz w:val="24"/>
                <w:szCs w:val="24"/>
              </w:rPr>
            </w:pPr>
            <w:r w:rsidRPr="00DE1824">
              <w:rPr>
                <w:rFonts w:ascii="宋体" w:eastAsia="宋体" w:hAnsi="宋体" w:cs="宋体"/>
                <w:b/>
                <w:bCs/>
                <w:kern w:val="0"/>
                <w:sz w:val="24"/>
                <w:szCs w:val="24"/>
              </w:rPr>
              <w:t>系统启动时间</w:t>
            </w:r>
          </w:p>
        </w:tc>
        <w:tc>
          <w:tcPr>
            <w:tcW w:w="3255" w:type="dxa"/>
            <w:vAlign w:val="center"/>
            <w:hideMark/>
          </w:tcPr>
          <w:p w:rsidR="00DE1824" w:rsidRPr="00DE1824" w:rsidRDefault="00DE1824" w:rsidP="00DE1824">
            <w:pPr>
              <w:widowControl/>
              <w:jc w:val="center"/>
              <w:rPr>
                <w:rFonts w:ascii="宋体" w:eastAsia="宋体" w:hAnsi="宋体" w:cs="宋体"/>
                <w:b/>
                <w:bCs/>
                <w:kern w:val="0"/>
                <w:sz w:val="24"/>
                <w:szCs w:val="24"/>
              </w:rPr>
            </w:pPr>
            <w:r w:rsidRPr="00DE1824">
              <w:rPr>
                <w:rFonts w:ascii="宋体" w:eastAsia="宋体" w:hAnsi="宋体" w:cs="宋体"/>
                <w:b/>
                <w:bCs/>
                <w:kern w:val="0"/>
                <w:sz w:val="24"/>
                <w:szCs w:val="24"/>
              </w:rPr>
              <w:t>百分比上升时间</w:t>
            </w:r>
          </w:p>
        </w:tc>
        <w:tc>
          <w:tcPr>
            <w:tcW w:w="4890" w:type="dxa"/>
            <w:vAlign w:val="center"/>
            <w:hideMark/>
          </w:tcPr>
          <w:p w:rsidR="00DE1824" w:rsidRPr="00DE1824" w:rsidRDefault="00DE1824" w:rsidP="00DE1824">
            <w:pPr>
              <w:widowControl/>
              <w:jc w:val="center"/>
              <w:rPr>
                <w:rFonts w:ascii="宋体" w:eastAsia="宋体" w:hAnsi="宋体" w:cs="宋体"/>
                <w:b/>
                <w:bCs/>
                <w:kern w:val="0"/>
                <w:sz w:val="24"/>
                <w:szCs w:val="24"/>
              </w:rPr>
            </w:pPr>
            <w:r w:rsidRPr="00DE1824">
              <w:rPr>
                <w:rFonts w:ascii="宋体" w:eastAsia="宋体" w:hAnsi="宋体" w:cs="宋体"/>
                <w:b/>
                <w:bCs/>
                <w:kern w:val="0"/>
                <w:sz w:val="24"/>
                <w:szCs w:val="24"/>
              </w:rPr>
              <w:t>速度 （秒）</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t>2020</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0.49 秒</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t>2019</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0.79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0.79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0.64 s</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0.64 s</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99.97%</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0.56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0.55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0.55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0.56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0.61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0.58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0.58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0.62 秒</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t>2018</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0.59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0.63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0.62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0.68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0.69 秒</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0.65</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99.91%</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0.59</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0.65</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99.97%</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0.67</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0.67</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t>2017</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0.73</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lastRenderedPageBreak/>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0.74</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0.75</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0.81</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99.94%</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0.80</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0.82</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0.88</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0.88</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0.87</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0.96</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hyperlink r:id="rId4" w:anchor="February+2017" w:tooltip="System Up Time and Metrics" w:history="1">
              <w:r w:rsidRPr="00DE1824">
                <w:rPr>
                  <w:rFonts w:ascii="宋体" w:eastAsia="宋体" w:hAnsi="宋体" w:cs="宋体"/>
                  <w:color w:val="0000FF"/>
                  <w:kern w:val="0"/>
                  <w:sz w:val="24"/>
                  <w:szCs w:val="24"/>
                  <w:u w:val="single"/>
                  <w:vertAlign w:val="superscript"/>
                </w:rPr>
                <w:t>（1）根据第（1）款的规定，任何人不得根据第（1）款或第（1）款的</w:t>
              </w:r>
            </w:hyperlink>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0.91</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0.90</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t>2016</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0.90</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0.99</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1.01</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1.06</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99.94%</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1.03</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0.90</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1.15</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1.23</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1.18</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1.13</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t>2015</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1.28</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99.98%</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1.29</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1.21</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1.10</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1.11</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1.08</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1.05</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0.94</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0.86</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0.90</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0.94</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0.99</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lastRenderedPageBreak/>
              <w:t>2014</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99.97%</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spacing w:before="100" w:beforeAutospacing="1" w:after="100" w:afterAutospacing="1"/>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t>2013</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99.98%</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99.98%</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spacing w:before="100" w:beforeAutospacing="1" w:after="100" w:afterAutospacing="1"/>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t>2012</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99.95%</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99.91%</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spacing w:before="100" w:beforeAutospacing="1" w:after="100" w:afterAutospacing="1"/>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lastRenderedPageBreak/>
              <w:t>2011</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99.93%</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spacing w:before="100" w:beforeAutospacing="1" w:after="100" w:afterAutospacing="1"/>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99.97%</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11595" w:type="dxa"/>
            <w:gridSpan w:val="3"/>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b/>
                <w:bCs/>
                <w:kern w:val="0"/>
                <w:sz w:val="24"/>
                <w:szCs w:val="24"/>
              </w:rPr>
              <w:t>2010</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十月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九月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八月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100.00%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七月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99.93%</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六月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梅</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99.90%</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四月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进行曲</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二月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r w:rsidR="00DE1824" w:rsidRPr="00DE1824" w:rsidTr="00DE1824">
        <w:trPr>
          <w:tblCellSpacing w:w="5" w:type="dxa"/>
        </w:trPr>
        <w:tc>
          <w:tcPr>
            <w:tcW w:w="3390" w:type="dxa"/>
            <w:vAlign w:val="center"/>
            <w:hideMark/>
          </w:tcPr>
          <w:p w:rsidR="00DE1824" w:rsidRPr="00DE1824" w:rsidRDefault="00DE1824" w:rsidP="00DE1824">
            <w:pPr>
              <w:widowControl/>
              <w:spacing w:before="100" w:beforeAutospacing="1" w:after="100" w:afterAutospacing="1"/>
              <w:jc w:val="left"/>
              <w:rPr>
                <w:rFonts w:ascii="宋体" w:eastAsia="宋体" w:hAnsi="宋体" w:cs="宋体"/>
                <w:kern w:val="0"/>
                <w:sz w:val="24"/>
                <w:szCs w:val="24"/>
              </w:rPr>
            </w:pPr>
            <w:r w:rsidRPr="00DE1824">
              <w:rPr>
                <w:rFonts w:ascii="宋体" w:eastAsia="宋体" w:hAnsi="宋体" w:cs="宋体"/>
                <w:kern w:val="0"/>
                <w:sz w:val="24"/>
                <w:szCs w:val="24"/>
              </w:rPr>
              <w:t>一月</w:t>
            </w:r>
          </w:p>
        </w:tc>
        <w:tc>
          <w:tcPr>
            <w:tcW w:w="3255"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99.99%</w:t>
            </w:r>
          </w:p>
        </w:tc>
        <w:tc>
          <w:tcPr>
            <w:tcW w:w="4890" w:type="dxa"/>
            <w:vAlign w:val="center"/>
            <w:hideMark/>
          </w:tcPr>
          <w:p w:rsidR="00DE1824" w:rsidRPr="00DE1824" w:rsidRDefault="00DE1824" w:rsidP="00DE1824">
            <w:pPr>
              <w:widowControl/>
              <w:jc w:val="left"/>
              <w:rPr>
                <w:rFonts w:ascii="宋体" w:eastAsia="宋体" w:hAnsi="宋体" w:cs="宋体"/>
                <w:kern w:val="0"/>
                <w:sz w:val="24"/>
                <w:szCs w:val="24"/>
              </w:rPr>
            </w:pPr>
            <w:r w:rsidRPr="00DE1824">
              <w:rPr>
                <w:rFonts w:ascii="宋体" w:eastAsia="宋体" w:hAnsi="宋体" w:cs="宋体"/>
                <w:kern w:val="0"/>
                <w:sz w:val="24"/>
                <w:szCs w:val="24"/>
              </w:rPr>
              <w:t>N/A</w:t>
            </w:r>
          </w:p>
        </w:tc>
      </w:tr>
    </w:tbl>
    <w:p w:rsidR="00DE1824" w:rsidRPr="00DE1824" w:rsidRDefault="00DE1824" w:rsidP="00DE1824">
      <w:pPr>
        <w:widowControl/>
        <w:spacing w:before="100" w:beforeAutospacing="1" w:after="100" w:afterAutospacing="1"/>
        <w:jc w:val="left"/>
        <w:rPr>
          <w:rFonts w:ascii="宋体" w:eastAsia="宋体" w:hAnsi="宋体" w:cs="宋体"/>
          <w:kern w:val="0"/>
          <w:sz w:val="24"/>
          <w:szCs w:val="24"/>
        </w:rPr>
      </w:pPr>
      <w:bookmarkStart w:id="0" w:name="February+2017"/>
      <w:r w:rsidRPr="00DE1824">
        <w:rPr>
          <w:rFonts w:ascii="宋体" w:eastAsia="宋体" w:hAnsi="宋体" w:cs="宋体"/>
          <w:kern w:val="0"/>
          <w:sz w:val="24"/>
          <w:szCs w:val="24"/>
          <w:vertAlign w:val="superscript"/>
        </w:rPr>
        <w:t>（1）根据第（1）款的规定，任何人不得根据第（1）款或第（1）款的</w:t>
      </w:r>
      <w:bookmarkEnd w:id="0"/>
      <w:r w:rsidRPr="00DE1824">
        <w:rPr>
          <w:rFonts w:ascii="宋体" w:eastAsia="宋体" w:hAnsi="宋体" w:cs="宋体"/>
          <w:kern w:val="0"/>
          <w:sz w:val="24"/>
          <w:szCs w:val="24"/>
          <w:vertAlign w:val="superscript"/>
        </w:rPr>
        <w:t>2 月 28 日，美国东海岸地区的客户受到了 AWS 区域范围内 S3 服务中断的影响。客户可以联系支持更多的细节。全球其他地区的客户没有受到影响。</w:t>
      </w:r>
    </w:p>
    <w:p w:rsidR="00C66724" w:rsidRDefault="00C66724">
      <w:bookmarkStart w:id="1" w:name="_GoBack"/>
      <w:bookmarkEnd w:id="1"/>
    </w:p>
    <w:sectPr w:rsidR="00C667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316"/>
    <w:rsid w:val="000A4316"/>
    <w:rsid w:val="00C66724"/>
    <w:rsid w:val="00DE1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BF157-0B2A-4F09-B8FC-0B70B132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8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E1824"/>
    <w:rPr>
      <w:b/>
      <w:bCs/>
    </w:rPr>
  </w:style>
  <w:style w:type="character" w:styleId="a5">
    <w:name w:val="Hyperlink"/>
    <w:basedOn w:val="a0"/>
    <w:uiPriority w:val="99"/>
    <w:semiHidden/>
    <w:unhideWhenUsed/>
    <w:rsid w:val="00DE18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ccess.coupa.com/Trust/System_Up_Time_and_Metr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2020-03-26T08:29:00Z</dcterms:created>
  <dcterms:modified xsi:type="dcterms:W3CDTF">2020-03-26T08:29:00Z</dcterms:modified>
</cp:coreProperties>
</file>