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E18" w:rsidRPr="00112E18" w:rsidRDefault="00112E18" w:rsidP="00112E18">
      <w:pPr>
        <w:widowControl/>
        <w:spacing w:before="100" w:beforeAutospacing="1" w:after="100" w:afterAutospacing="1"/>
        <w:jc w:val="left"/>
        <w:outlineLvl w:val="1"/>
        <w:rPr>
          <w:rFonts w:ascii="宋体" w:eastAsia="宋体" w:hAnsi="宋体" w:cs="宋体"/>
          <w:b/>
          <w:bCs/>
          <w:kern w:val="0"/>
          <w:sz w:val="36"/>
          <w:szCs w:val="36"/>
        </w:rPr>
      </w:pPr>
      <w:r w:rsidRPr="00112E18">
        <w:rPr>
          <w:rFonts w:ascii="宋体" w:eastAsia="宋体" w:hAnsi="宋体" w:cs="宋体"/>
          <w:b/>
          <w:bCs/>
          <w:kern w:val="0"/>
          <w:sz w:val="36"/>
          <w:szCs w:val="36"/>
        </w:rPr>
        <w:t>概览</w:t>
      </w:r>
    </w:p>
    <w:p w:rsidR="00112E18" w:rsidRPr="00112E18" w:rsidRDefault="00112E18" w:rsidP="00112E18">
      <w:pPr>
        <w:widowControl/>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t>本文档提供了 Coupa Software 通过 Coupa its 平台将其生产软件作为服务产品维护的业务连续性程序的摘要。该项目由安全和合规副总裁负责监督，并得到最高层行政领导的支持。</w:t>
      </w:r>
    </w:p>
    <w:p w:rsidR="00112E18" w:rsidRPr="00112E18" w:rsidRDefault="00112E18" w:rsidP="00112E18">
      <w:pPr>
        <w:widowControl/>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t>Coupa 中的业务连续性管理（BCM）涵盖了维护关键业务流程和操作所需的关键人员、资源、服务和操作。此计划旨在解决扩展的业务中断，并基于以下政策和流程中包含的信息：</w:t>
      </w:r>
    </w:p>
    <w:p w:rsidR="00112E18" w:rsidRPr="00112E18" w:rsidRDefault="00112E18" w:rsidP="00112E18">
      <w:pPr>
        <w:widowControl/>
        <w:numPr>
          <w:ilvl w:val="0"/>
          <w:numId w:val="1"/>
        </w:numPr>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t>业务连续性政策</w:t>
      </w:r>
    </w:p>
    <w:p w:rsidR="00112E18" w:rsidRPr="00112E18" w:rsidRDefault="00112E18" w:rsidP="00112E18">
      <w:pPr>
        <w:widowControl/>
        <w:numPr>
          <w:ilvl w:val="0"/>
          <w:numId w:val="1"/>
        </w:numPr>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t>商业影响评估</w:t>
      </w:r>
    </w:p>
    <w:p w:rsidR="00112E18" w:rsidRPr="00112E18" w:rsidRDefault="00112E18" w:rsidP="00112E18">
      <w:pPr>
        <w:widowControl/>
        <w:numPr>
          <w:ilvl w:val="0"/>
          <w:numId w:val="1"/>
        </w:numPr>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t>业务连续性计划</w:t>
      </w:r>
    </w:p>
    <w:p w:rsidR="00112E18" w:rsidRPr="00112E18" w:rsidRDefault="00112E18" w:rsidP="00112E18">
      <w:pPr>
        <w:widowControl/>
        <w:numPr>
          <w:ilvl w:val="0"/>
          <w:numId w:val="1"/>
        </w:numPr>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t>数据中心恢复 - 花费平台</w:t>
      </w:r>
    </w:p>
    <w:p w:rsidR="00112E18" w:rsidRPr="00112E18" w:rsidRDefault="00112E18" w:rsidP="00112E18">
      <w:pPr>
        <w:widowControl/>
        <w:numPr>
          <w:ilvl w:val="0"/>
          <w:numId w:val="1"/>
        </w:numPr>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t>事故响应计划</w:t>
      </w:r>
    </w:p>
    <w:p w:rsidR="00112E18" w:rsidRPr="00112E18" w:rsidRDefault="00112E18" w:rsidP="00112E18">
      <w:pPr>
        <w:widowControl/>
        <w:numPr>
          <w:ilvl w:val="0"/>
          <w:numId w:val="1"/>
        </w:numPr>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t>活动恢复计划</w:t>
      </w:r>
    </w:p>
    <w:p w:rsidR="00112E18" w:rsidRPr="00112E18" w:rsidRDefault="00112E18" w:rsidP="00112E18">
      <w:pPr>
        <w:widowControl/>
        <w:numPr>
          <w:ilvl w:val="0"/>
          <w:numId w:val="1"/>
        </w:numPr>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t>应急测试 - 开销平台</w:t>
      </w:r>
    </w:p>
    <w:p w:rsidR="00112E18" w:rsidRPr="00112E18" w:rsidRDefault="00112E18" w:rsidP="00112E18">
      <w:pPr>
        <w:widowControl/>
        <w:numPr>
          <w:ilvl w:val="0"/>
          <w:numId w:val="1"/>
        </w:numPr>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t>业务连续性 —活动恢复测试</w:t>
      </w:r>
    </w:p>
    <w:p w:rsidR="00112E18" w:rsidRPr="00112E18" w:rsidRDefault="00112E18" w:rsidP="00112E18">
      <w:pPr>
        <w:widowControl/>
        <w:numPr>
          <w:ilvl w:val="0"/>
          <w:numId w:val="1"/>
        </w:numPr>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t>事故反应测试和桌面演习</w:t>
      </w:r>
    </w:p>
    <w:p w:rsidR="00112E18" w:rsidRPr="00112E18" w:rsidRDefault="00112E18" w:rsidP="00112E18">
      <w:pPr>
        <w:widowControl/>
        <w:numPr>
          <w:ilvl w:val="0"/>
          <w:numId w:val="1"/>
        </w:numPr>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t>年度业务连续性及事故应对培训</w:t>
      </w:r>
    </w:p>
    <w:p w:rsidR="00112E18" w:rsidRPr="00112E18" w:rsidRDefault="00112E18" w:rsidP="00112E18">
      <w:pPr>
        <w:widowControl/>
        <w:spacing w:before="100" w:beforeAutospacing="1" w:after="100" w:afterAutospacing="1"/>
        <w:jc w:val="left"/>
        <w:outlineLvl w:val="1"/>
        <w:rPr>
          <w:rFonts w:ascii="宋体" w:eastAsia="宋体" w:hAnsi="宋体" w:cs="宋体"/>
          <w:b/>
          <w:bCs/>
          <w:kern w:val="0"/>
          <w:sz w:val="36"/>
          <w:szCs w:val="36"/>
        </w:rPr>
      </w:pPr>
      <w:r w:rsidRPr="00112E18">
        <w:rPr>
          <w:rFonts w:ascii="宋体" w:eastAsia="宋体" w:hAnsi="宋体" w:cs="宋体"/>
          <w:b/>
          <w:bCs/>
          <w:kern w:val="0"/>
          <w:sz w:val="36"/>
          <w:szCs w:val="36"/>
        </w:rPr>
        <w:t>目的</w:t>
      </w:r>
    </w:p>
    <w:p w:rsidR="00112E18" w:rsidRPr="00112E18" w:rsidRDefault="00112E18" w:rsidP="00112E18">
      <w:pPr>
        <w:widowControl/>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t>BCM 的目标是提出明确的行动方针，以完成下列工作：</w:t>
      </w:r>
    </w:p>
    <w:p w:rsidR="00112E18" w:rsidRPr="00112E18" w:rsidRDefault="00112E18" w:rsidP="00112E18">
      <w:pPr>
        <w:widowControl/>
        <w:numPr>
          <w:ilvl w:val="0"/>
          <w:numId w:val="2"/>
        </w:numPr>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t>保护人类生命，保障 Coupa 员工、承包商和访客的安全和福利。</w:t>
      </w:r>
    </w:p>
    <w:p w:rsidR="00112E18" w:rsidRPr="00112E18" w:rsidRDefault="00112E18" w:rsidP="00112E18">
      <w:pPr>
        <w:widowControl/>
        <w:numPr>
          <w:ilvl w:val="0"/>
          <w:numId w:val="2"/>
        </w:numPr>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t>通过保护公司财产、资产、记录和信息（包括金融和商业资产），以及 Coupa 的竞争优势、声誉和商誉等无形资产，限制不必要的物质资产损失的规模。</w:t>
      </w:r>
    </w:p>
    <w:p w:rsidR="00112E18" w:rsidRPr="00112E18" w:rsidRDefault="00112E18" w:rsidP="00112E18">
      <w:pPr>
        <w:widowControl/>
        <w:numPr>
          <w:ilvl w:val="0"/>
          <w:numId w:val="2"/>
        </w:numPr>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t>通过不断的准备和教育，减少因危机而产生的冲突、困惑和优柔寡断，让 Coupa 如何应对造成严重业务中断的事件。应对危机必须是有组织的、有效的和专业的，目的是减少中断对 Coupa 人员和业务运作的影响。</w:t>
      </w:r>
    </w:p>
    <w:p w:rsidR="00112E18" w:rsidRPr="00112E18" w:rsidRDefault="00112E18" w:rsidP="00112E18">
      <w:pPr>
        <w:widowControl/>
        <w:numPr>
          <w:ilvl w:val="0"/>
          <w:numId w:val="2"/>
        </w:numPr>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t>建立关键业务流程和组件的优先级。</w:t>
      </w:r>
    </w:p>
    <w:p w:rsidR="00112E18" w:rsidRPr="00112E18" w:rsidRDefault="00112E18" w:rsidP="00112E18">
      <w:pPr>
        <w:widowControl/>
        <w:numPr>
          <w:ilvl w:val="0"/>
          <w:numId w:val="2"/>
        </w:numPr>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t>维护股东、员工和客户的信心。</w:t>
      </w:r>
    </w:p>
    <w:p w:rsidR="00112E18" w:rsidRPr="00112E18" w:rsidRDefault="00112E18" w:rsidP="00112E18">
      <w:pPr>
        <w:widowControl/>
        <w:numPr>
          <w:ilvl w:val="0"/>
          <w:numId w:val="2"/>
        </w:numPr>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t>遵守适用的法律法规，保持与执法、监管和其他政府机构的生产关系。</w:t>
      </w:r>
    </w:p>
    <w:p w:rsidR="00112E18" w:rsidRPr="00112E18" w:rsidRDefault="00112E18" w:rsidP="00112E18">
      <w:pPr>
        <w:widowControl/>
        <w:numPr>
          <w:ilvl w:val="0"/>
          <w:numId w:val="2"/>
        </w:numPr>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t>尽快恢复正常的业务运作。</w:t>
      </w:r>
    </w:p>
    <w:p w:rsidR="00112E18" w:rsidRPr="00112E18" w:rsidRDefault="00112E18" w:rsidP="00112E18">
      <w:pPr>
        <w:widowControl/>
        <w:spacing w:before="100" w:beforeAutospacing="1" w:after="100" w:afterAutospacing="1"/>
        <w:jc w:val="left"/>
        <w:outlineLvl w:val="1"/>
        <w:rPr>
          <w:rFonts w:ascii="宋体" w:eastAsia="宋体" w:hAnsi="宋体" w:cs="宋体"/>
          <w:b/>
          <w:bCs/>
          <w:kern w:val="0"/>
          <w:sz w:val="36"/>
          <w:szCs w:val="36"/>
        </w:rPr>
      </w:pPr>
      <w:r w:rsidRPr="00112E18">
        <w:rPr>
          <w:rFonts w:ascii="宋体" w:eastAsia="宋体" w:hAnsi="宋体" w:cs="宋体"/>
          <w:b/>
          <w:bCs/>
          <w:kern w:val="0"/>
          <w:sz w:val="36"/>
          <w:szCs w:val="36"/>
        </w:rPr>
        <w:t>业务连续性规划</w:t>
      </w:r>
    </w:p>
    <w:p w:rsidR="00112E18" w:rsidRPr="00112E18" w:rsidRDefault="00112E18" w:rsidP="00112E18">
      <w:pPr>
        <w:widowControl/>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t>Coupa 维护一个业务连续性计划，包括所有关键业务活动的活动恢复计划。业务连续性战略每年审查一次，以确定关键的恢复过程和战略。业务连续性计划</w:t>
      </w:r>
      <w:r w:rsidRPr="00112E18">
        <w:rPr>
          <w:rFonts w:ascii="宋体" w:eastAsia="宋体" w:hAnsi="宋体" w:cs="宋体"/>
          <w:kern w:val="0"/>
          <w:sz w:val="24"/>
          <w:szCs w:val="24"/>
        </w:rPr>
        <w:lastRenderedPageBreak/>
        <w:t>最后一次更新/复核是在 2019 年 10 月 31 日。作为年度评审和计划的一部分，每个活动都完成一个业务影响评估，以确定是否需要进行任何更改或修改。这些影响评估将被纳入年度平台风险评估。建立了 Coupa 企业风险管理（ERM）团队，用于识别、评估和修复风险。这个团队是组织的一个横截面，在所有部门都有代表。每个月，ERM领导层都会对风险环境中任何不可接受的变化进行监控和优先处理。</w:t>
      </w:r>
    </w:p>
    <w:p w:rsidR="00112E18" w:rsidRPr="00112E18" w:rsidRDefault="00112E18" w:rsidP="00112E18">
      <w:pPr>
        <w:widowControl/>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t>为了支持业务连续性规划和灾难恢复活动，已经创建了一个 BCM 团队来支持恢复策略，并将作为危机管理团队发挥作用。该团队将以有效、及时的方式管理 Coupa 应对危机或灾难的总体协调，其目标是避免或尽量减少对组织盈利能力、声誉和运作能力的损害。</w:t>
      </w:r>
    </w:p>
    <w:p w:rsidR="00112E18" w:rsidRPr="00112E18" w:rsidRDefault="00112E18" w:rsidP="00112E18">
      <w:pPr>
        <w:widowControl/>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t>每年至少有一次，由确定的团队成员对 BCM 的组件进行评审和更新。此外，Coupa还需要对业务连续性和事故响应计划进行年度培训和测试。然后记录和跟踪任何已确认的发现，直到风险降低到可接受的水平。</w:t>
      </w:r>
    </w:p>
    <w:p w:rsidR="00112E18" w:rsidRPr="00112E18" w:rsidRDefault="00112E18" w:rsidP="00112E18">
      <w:pPr>
        <w:widowControl/>
        <w:spacing w:before="100" w:beforeAutospacing="1" w:after="100" w:afterAutospacing="1"/>
        <w:jc w:val="left"/>
        <w:outlineLvl w:val="1"/>
        <w:rPr>
          <w:rFonts w:ascii="宋体" w:eastAsia="宋体" w:hAnsi="宋体" w:cs="宋体"/>
          <w:b/>
          <w:bCs/>
          <w:kern w:val="0"/>
          <w:sz w:val="36"/>
          <w:szCs w:val="36"/>
        </w:rPr>
      </w:pPr>
      <w:r w:rsidRPr="00112E18">
        <w:rPr>
          <w:rFonts w:ascii="宋体" w:eastAsia="宋体" w:hAnsi="宋体" w:cs="宋体"/>
          <w:b/>
          <w:bCs/>
          <w:kern w:val="0"/>
          <w:sz w:val="36"/>
          <w:szCs w:val="36"/>
        </w:rPr>
        <w:t>数据中心恢复</w:t>
      </w:r>
    </w:p>
    <w:p w:rsidR="00112E18" w:rsidRPr="00112E18" w:rsidRDefault="00112E18" w:rsidP="00112E18">
      <w:pPr>
        <w:widowControl/>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t>Coupa 选择拥有世界级数据中心的基础设施提供商（IaaS），允许 Coupa 为其客户提供高水平的不间断服务。大多数 Coupa 客户托管在 Amazon Web Services（AWS）全球基础设施中。 AWS 提供了一个高度可靠、可扩展和安全的环境。 Coupa 继承了在 AWS 全局基础结构中运行的几个流程和可伸缩性保障。 Coupa 定期与 AWS 架构师合作，以验证 AWS 在安全性、可用性和完整性方面的最佳实践。如图 1 所示，Coupa production backup configuration 运行在一个主、从和三级从体系结构中，跨越两个不同地理区域的三个不同的独特数据中心。数据中心恢复计划过程由基础设施提供商和子处理器管理。支持生产环境的每个供应商都要进行风险评估，以评估其安全性和恢复策略。</w:t>
      </w:r>
    </w:p>
    <w:p w:rsidR="00112E18" w:rsidRPr="00112E18" w:rsidRDefault="00112E18" w:rsidP="00112E18">
      <w:pPr>
        <w:widowControl/>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noProof/>
          <w:kern w:val="0"/>
          <w:sz w:val="24"/>
          <w:szCs w:val="24"/>
        </w:rPr>
        <w:lastRenderedPageBreak/>
        <w:drawing>
          <wp:inline distT="0" distB="0" distL="0" distR="0">
            <wp:extent cx="3632200" cy="3187700"/>
            <wp:effectExtent l="0" t="0" r="6350" b="0"/>
            <wp:docPr id="1" name="图片 1" descr="BackupConf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ckupConfi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2200" cy="3187700"/>
                    </a:xfrm>
                    <a:prstGeom prst="rect">
                      <a:avLst/>
                    </a:prstGeom>
                    <a:noFill/>
                    <a:ln>
                      <a:noFill/>
                    </a:ln>
                  </pic:spPr>
                </pic:pic>
              </a:graphicData>
            </a:graphic>
          </wp:inline>
        </w:drawing>
      </w:r>
    </w:p>
    <w:p w:rsidR="00112E18" w:rsidRPr="00112E18" w:rsidRDefault="00112E18" w:rsidP="00112E18">
      <w:pPr>
        <w:widowControl/>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t>作为内部年度评审的一部分，计算和更新恢复时间目标（RTO）和最大允许停机时间（MTD）。由于我们的数据中心恢复计划，预计停机时间很少，但如果发生灾难，则 RTO 为 60 分钟。</w:t>
      </w:r>
    </w:p>
    <w:tbl>
      <w:tblPr>
        <w:tblW w:w="14610" w:type="dxa"/>
        <w:tblCellSpacing w:w="15" w:type="dxa"/>
        <w:tblCellMar>
          <w:top w:w="15" w:type="dxa"/>
          <w:left w:w="15" w:type="dxa"/>
          <w:bottom w:w="15" w:type="dxa"/>
          <w:right w:w="15" w:type="dxa"/>
        </w:tblCellMar>
        <w:tblLook w:val="04A0" w:firstRow="1" w:lastRow="0" w:firstColumn="1" w:lastColumn="0" w:noHBand="0" w:noVBand="1"/>
      </w:tblPr>
      <w:tblGrid>
        <w:gridCol w:w="7561"/>
        <w:gridCol w:w="3562"/>
        <w:gridCol w:w="3487"/>
      </w:tblGrid>
      <w:tr w:rsidR="00112E18" w:rsidRPr="00112E18" w:rsidTr="00112E18">
        <w:trPr>
          <w:tblHeader/>
          <w:tblCellSpacing w:w="15" w:type="dxa"/>
        </w:trPr>
        <w:tc>
          <w:tcPr>
            <w:tcW w:w="7500" w:type="dxa"/>
            <w:vAlign w:val="center"/>
            <w:hideMark/>
          </w:tcPr>
          <w:p w:rsidR="00112E18" w:rsidRPr="00112E18" w:rsidRDefault="00112E18" w:rsidP="00112E18">
            <w:pPr>
              <w:widowControl/>
              <w:jc w:val="center"/>
              <w:rPr>
                <w:rFonts w:ascii="宋体" w:eastAsia="宋体" w:hAnsi="宋体" w:cs="宋体"/>
                <w:b/>
                <w:bCs/>
                <w:kern w:val="0"/>
                <w:sz w:val="24"/>
                <w:szCs w:val="24"/>
              </w:rPr>
            </w:pPr>
            <w:r w:rsidRPr="00112E18">
              <w:rPr>
                <w:rFonts w:ascii="宋体" w:eastAsia="宋体" w:hAnsi="宋体" w:cs="宋体"/>
                <w:b/>
                <w:bCs/>
                <w:kern w:val="0"/>
                <w:sz w:val="24"/>
                <w:szCs w:val="24"/>
              </w:rPr>
              <w:t>关键工序</w:t>
            </w:r>
          </w:p>
        </w:tc>
        <w:tc>
          <w:tcPr>
            <w:tcW w:w="3525" w:type="dxa"/>
            <w:vAlign w:val="center"/>
            <w:hideMark/>
          </w:tcPr>
          <w:p w:rsidR="00112E18" w:rsidRPr="00112E18" w:rsidRDefault="00112E18" w:rsidP="00112E18">
            <w:pPr>
              <w:widowControl/>
              <w:jc w:val="center"/>
              <w:rPr>
                <w:rFonts w:ascii="宋体" w:eastAsia="宋体" w:hAnsi="宋体" w:cs="宋体"/>
                <w:b/>
                <w:bCs/>
                <w:kern w:val="0"/>
                <w:sz w:val="24"/>
                <w:szCs w:val="24"/>
              </w:rPr>
            </w:pPr>
            <w:r w:rsidRPr="00112E18">
              <w:rPr>
                <w:rFonts w:ascii="宋体" w:eastAsia="宋体" w:hAnsi="宋体" w:cs="宋体"/>
                <w:b/>
                <w:bCs/>
                <w:kern w:val="0"/>
                <w:sz w:val="24"/>
                <w:szCs w:val="24"/>
              </w:rPr>
              <w:t>回授</w:t>
            </w:r>
          </w:p>
        </w:tc>
        <w:tc>
          <w:tcPr>
            <w:tcW w:w="3435" w:type="dxa"/>
            <w:vAlign w:val="center"/>
            <w:hideMark/>
          </w:tcPr>
          <w:p w:rsidR="00112E18" w:rsidRPr="00112E18" w:rsidRDefault="00112E18" w:rsidP="00112E18">
            <w:pPr>
              <w:widowControl/>
              <w:jc w:val="center"/>
              <w:rPr>
                <w:rFonts w:ascii="宋体" w:eastAsia="宋体" w:hAnsi="宋体" w:cs="宋体"/>
                <w:b/>
                <w:bCs/>
                <w:kern w:val="0"/>
                <w:sz w:val="24"/>
                <w:szCs w:val="24"/>
              </w:rPr>
            </w:pPr>
            <w:r w:rsidRPr="00112E18">
              <w:rPr>
                <w:rFonts w:ascii="宋体" w:eastAsia="宋体" w:hAnsi="宋体" w:cs="宋体"/>
                <w:b/>
                <w:bCs/>
                <w:kern w:val="0"/>
                <w:sz w:val="24"/>
                <w:szCs w:val="24"/>
              </w:rPr>
              <w:t>MTD</w:t>
            </w:r>
          </w:p>
        </w:tc>
      </w:tr>
      <w:tr w:rsidR="00112E18" w:rsidRPr="00112E18" w:rsidTr="00112E18">
        <w:trPr>
          <w:tblCellSpacing w:w="15" w:type="dxa"/>
        </w:trPr>
        <w:tc>
          <w:tcPr>
            <w:tcW w:w="7500" w:type="dxa"/>
            <w:vAlign w:val="center"/>
            <w:hideMark/>
          </w:tcPr>
          <w:p w:rsidR="00112E18" w:rsidRPr="00112E18" w:rsidRDefault="00112E18" w:rsidP="00112E18">
            <w:pPr>
              <w:widowControl/>
              <w:jc w:val="left"/>
              <w:rPr>
                <w:rFonts w:ascii="宋体" w:eastAsia="宋体" w:hAnsi="宋体" w:cs="宋体"/>
                <w:kern w:val="0"/>
                <w:sz w:val="24"/>
                <w:szCs w:val="24"/>
              </w:rPr>
            </w:pPr>
            <w:r w:rsidRPr="00112E18">
              <w:rPr>
                <w:rFonts w:ascii="宋体" w:eastAsia="宋体" w:hAnsi="宋体" w:cs="宋体"/>
                <w:kern w:val="0"/>
                <w:sz w:val="24"/>
                <w:szCs w:val="24"/>
              </w:rPr>
              <w:t>Coupa 应用程序对客户的可用性</w:t>
            </w:r>
          </w:p>
        </w:tc>
        <w:tc>
          <w:tcPr>
            <w:tcW w:w="3525" w:type="dxa"/>
            <w:vAlign w:val="center"/>
            <w:hideMark/>
          </w:tcPr>
          <w:p w:rsidR="00112E18" w:rsidRPr="00112E18" w:rsidRDefault="00112E18" w:rsidP="00112E18">
            <w:pPr>
              <w:widowControl/>
              <w:jc w:val="left"/>
              <w:rPr>
                <w:rFonts w:ascii="宋体" w:eastAsia="宋体" w:hAnsi="宋体" w:cs="宋体"/>
                <w:kern w:val="0"/>
                <w:sz w:val="24"/>
                <w:szCs w:val="24"/>
              </w:rPr>
            </w:pPr>
            <w:r w:rsidRPr="00112E18">
              <w:rPr>
                <w:rFonts w:ascii="宋体" w:eastAsia="宋体" w:hAnsi="宋体" w:cs="宋体"/>
                <w:kern w:val="0"/>
                <w:sz w:val="24"/>
                <w:szCs w:val="24"/>
              </w:rPr>
              <w:t>1 小时</w:t>
            </w:r>
          </w:p>
        </w:tc>
        <w:tc>
          <w:tcPr>
            <w:tcW w:w="3435" w:type="dxa"/>
            <w:vAlign w:val="center"/>
            <w:hideMark/>
          </w:tcPr>
          <w:p w:rsidR="00112E18" w:rsidRPr="00112E18" w:rsidRDefault="00112E18" w:rsidP="00112E18">
            <w:pPr>
              <w:widowControl/>
              <w:jc w:val="left"/>
              <w:rPr>
                <w:rFonts w:ascii="宋体" w:eastAsia="宋体" w:hAnsi="宋体" w:cs="宋体"/>
                <w:kern w:val="0"/>
                <w:sz w:val="24"/>
                <w:szCs w:val="24"/>
              </w:rPr>
            </w:pPr>
            <w:r w:rsidRPr="00112E18">
              <w:rPr>
                <w:rFonts w:ascii="宋体" w:eastAsia="宋体" w:hAnsi="宋体" w:cs="宋体"/>
                <w:kern w:val="0"/>
                <w:sz w:val="24"/>
                <w:szCs w:val="24"/>
              </w:rPr>
              <w:t>24 小时</w:t>
            </w:r>
          </w:p>
        </w:tc>
      </w:tr>
      <w:tr w:rsidR="00112E18" w:rsidRPr="00112E18" w:rsidTr="00112E18">
        <w:trPr>
          <w:tblCellSpacing w:w="15" w:type="dxa"/>
        </w:trPr>
        <w:tc>
          <w:tcPr>
            <w:tcW w:w="7500" w:type="dxa"/>
            <w:vAlign w:val="center"/>
            <w:hideMark/>
          </w:tcPr>
          <w:p w:rsidR="00112E18" w:rsidRPr="00112E18" w:rsidRDefault="00112E18" w:rsidP="00112E18">
            <w:pPr>
              <w:widowControl/>
              <w:jc w:val="left"/>
              <w:rPr>
                <w:rFonts w:ascii="宋体" w:eastAsia="宋体" w:hAnsi="宋体" w:cs="宋体"/>
                <w:kern w:val="0"/>
                <w:sz w:val="24"/>
                <w:szCs w:val="24"/>
              </w:rPr>
            </w:pPr>
            <w:r w:rsidRPr="00112E18">
              <w:rPr>
                <w:rFonts w:ascii="宋体" w:eastAsia="宋体" w:hAnsi="宋体" w:cs="宋体"/>
                <w:kern w:val="0"/>
                <w:sz w:val="24"/>
                <w:szCs w:val="24"/>
              </w:rPr>
              <w:t>对 Coupa 客户的支持（呼叫中心和门户）</w:t>
            </w:r>
          </w:p>
        </w:tc>
        <w:tc>
          <w:tcPr>
            <w:tcW w:w="3525" w:type="dxa"/>
            <w:vAlign w:val="center"/>
            <w:hideMark/>
          </w:tcPr>
          <w:p w:rsidR="00112E18" w:rsidRPr="00112E18" w:rsidRDefault="00112E18" w:rsidP="00112E18">
            <w:pPr>
              <w:widowControl/>
              <w:jc w:val="left"/>
              <w:rPr>
                <w:rFonts w:ascii="宋体" w:eastAsia="宋体" w:hAnsi="宋体" w:cs="宋体"/>
                <w:kern w:val="0"/>
                <w:sz w:val="24"/>
                <w:szCs w:val="24"/>
              </w:rPr>
            </w:pPr>
            <w:r w:rsidRPr="00112E18">
              <w:rPr>
                <w:rFonts w:ascii="宋体" w:eastAsia="宋体" w:hAnsi="宋体" w:cs="宋体"/>
                <w:kern w:val="0"/>
                <w:sz w:val="24"/>
                <w:szCs w:val="24"/>
              </w:rPr>
              <w:t>4 小时</w:t>
            </w:r>
          </w:p>
        </w:tc>
        <w:tc>
          <w:tcPr>
            <w:tcW w:w="3435" w:type="dxa"/>
            <w:vAlign w:val="center"/>
            <w:hideMark/>
          </w:tcPr>
          <w:p w:rsidR="00112E18" w:rsidRPr="00112E18" w:rsidRDefault="00112E18" w:rsidP="00112E18">
            <w:pPr>
              <w:widowControl/>
              <w:jc w:val="left"/>
              <w:rPr>
                <w:rFonts w:ascii="宋体" w:eastAsia="宋体" w:hAnsi="宋体" w:cs="宋体"/>
                <w:kern w:val="0"/>
                <w:sz w:val="24"/>
                <w:szCs w:val="24"/>
              </w:rPr>
            </w:pPr>
            <w:r w:rsidRPr="00112E18">
              <w:rPr>
                <w:rFonts w:ascii="宋体" w:eastAsia="宋体" w:hAnsi="宋体" w:cs="宋体"/>
                <w:kern w:val="0"/>
                <w:sz w:val="24"/>
                <w:szCs w:val="24"/>
              </w:rPr>
              <w:t>24 小时</w:t>
            </w:r>
          </w:p>
        </w:tc>
      </w:tr>
      <w:tr w:rsidR="00112E18" w:rsidRPr="00112E18" w:rsidTr="00112E18">
        <w:trPr>
          <w:tblCellSpacing w:w="15" w:type="dxa"/>
        </w:trPr>
        <w:tc>
          <w:tcPr>
            <w:tcW w:w="7500" w:type="dxa"/>
            <w:vAlign w:val="center"/>
            <w:hideMark/>
          </w:tcPr>
          <w:p w:rsidR="00112E18" w:rsidRPr="00112E18" w:rsidRDefault="00112E18" w:rsidP="00112E18">
            <w:pPr>
              <w:widowControl/>
              <w:jc w:val="left"/>
              <w:rPr>
                <w:rFonts w:ascii="宋体" w:eastAsia="宋体" w:hAnsi="宋体" w:cs="宋体"/>
                <w:kern w:val="0"/>
                <w:sz w:val="24"/>
                <w:szCs w:val="24"/>
              </w:rPr>
            </w:pPr>
            <w:r w:rsidRPr="00112E18">
              <w:rPr>
                <w:rFonts w:ascii="宋体" w:eastAsia="宋体" w:hAnsi="宋体" w:cs="宋体"/>
                <w:kern w:val="0"/>
                <w:sz w:val="24"/>
                <w:szCs w:val="24"/>
              </w:rPr>
              <w:t>操作人员的可用性（现场可靠性工程）</w:t>
            </w:r>
          </w:p>
        </w:tc>
        <w:tc>
          <w:tcPr>
            <w:tcW w:w="3525" w:type="dxa"/>
            <w:vAlign w:val="center"/>
            <w:hideMark/>
          </w:tcPr>
          <w:p w:rsidR="00112E18" w:rsidRPr="00112E18" w:rsidRDefault="00112E18" w:rsidP="00112E18">
            <w:pPr>
              <w:widowControl/>
              <w:jc w:val="left"/>
              <w:rPr>
                <w:rFonts w:ascii="宋体" w:eastAsia="宋体" w:hAnsi="宋体" w:cs="宋体"/>
                <w:kern w:val="0"/>
                <w:sz w:val="24"/>
                <w:szCs w:val="24"/>
              </w:rPr>
            </w:pPr>
            <w:r w:rsidRPr="00112E18">
              <w:rPr>
                <w:rFonts w:ascii="宋体" w:eastAsia="宋体" w:hAnsi="宋体" w:cs="宋体"/>
                <w:kern w:val="0"/>
                <w:sz w:val="24"/>
                <w:szCs w:val="24"/>
              </w:rPr>
              <w:t>1 小时</w:t>
            </w:r>
          </w:p>
        </w:tc>
        <w:tc>
          <w:tcPr>
            <w:tcW w:w="3435" w:type="dxa"/>
            <w:vAlign w:val="center"/>
            <w:hideMark/>
          </w:tcPr>
          <w:p w:rsidR="00112E18" w:rsidRPr="00112E18" w:rsidRDefault="00112E18" w:rsidP="00112E18">
            <w:pPr>
              <w:widowControl/>
              <w:jc w:val="left"/>
              <w:rPr>
                <w:rFonts w:ascii="宋体" w:eastAsia="宋体" w:hAnsi="宋体" w:cs="宋体"/>
                <w:kern w:val="0"/>
                <w:sz w:val="24"/>
                <w:szCs w:val="24"/>
              </w:rPr>
            </w:pPr>
            <w:r w:rsidRPr="00112E18">
              <w:rPr>
                <w:rFonts w:ascii="宋体" w:eastAsia="宋体" w:hAnsi="宋体" w:cs="宋体"/>
                <w:kern w:val="0"/>
                <w:sz w:val="24"/>
                <w:szCs w:val="24"/>
              </w:rPr>
              <w:t>24 小时</w:t>
            </w:r>
          </w:p>
        </w:tc>
      </w:tr>
      <w:tr w:rsidR="00112E18" w:rsidRPr="00112E18" w:rsidTr="00112E18">
        <w:trPr>
          <w:tblCellSpacing w:w="15" w:type="dxa"/>
        </w:trPr>
        <w:tc>
          <w:tcPr>
            <w:tcW w:w="7500" w:type="dxa"/>
            <w:vAlign w:val="center"/>
            <w:hideMark/>
          </w:tcPr>
          <w:p w:rsidR="00112E18" w:rsidRPr="00112E18" w:rsidRDefault="00112E18" w:rsidP="00112E18">
            <w:pPr>
              <w:widowControl/>
              <w:jc w:val="left"/>
              <w:rPr>
                <w:rFonts w:ascii="宋体" w:eastAsia="宋体" w:hAnsi="宋体" w:cs="宋体"/>
                <w:kern w:val="0"/>
                <w:sz w:val="24"/>
                <w:szCs w:val="24"/>
              </w:rPr>
            </w:pPr>
            <w:r w:rsidRPr="00112E18">
              <w:rPr>
                <w:rFonts w:ascii="宋体" w:eastAsia="宋体" w:hAnsi="宋体" w:cs="宋体"/>
                <w:kern w:val="0"/>
                <w:sz w:val="24"/>
                <w:szCs w:val="24"/>
              </w:rPr>
              <w:t>开发人员的可得性</w:t>
            </w:r>
          </w:p>
        </w:tc>
        <w:tc>
          <w:tcPr>
            <w:tcW w:w="3525" w:type="dxa"/>
            <w:vAlign w:val="center"/>
            <w:hideMark/>
          </w:tcPr>
          <w:p w:rsidR="00112E18" w:rsidRPr="00112E18" w:rsidRDefault="00112E18" w:rsidP="00112E18">
            <w:pPr>
              <w:widowControl/>
              <w:jc w:val="left"/>
              <w:rPr>
                <w:rFonts w:ascii="宋体" w:eastAsia="宋体" w:hAnsi="宋体" w:cs="宋体"/>
                <w:kern w:val="0"/>
                <w:sz w:val="24"/>
                <w:szCs w:val="24"/>
              </w:rPr>
            </w:pPr>
            <w:r w:rsidRPr="00112E18">
              <w:rPr>
                <w:rFonts w:ascii="宋体" w:eastAsia="宋体" w:hAnsi="宋体" w:cs="宋体"/>
                <w:kern w:val="0"/>
                <w:sz w:val="24"/>
                <w:szCs w:val="24"/>
              </w:rPr>
              <w:t>2 小时</w:t>
            </w:r>
          </w:p>
        </w:tc>
        <w:tc>
          <w:tcPr>
            <w:tcW w:w="3435" w:type="dxa"/>
            <w:vAlign w:val="center"/>
            <w:hideMark/>
          </w:tcPr>
          <w:p w:rsidR="00112E18" w:rsidRPr="00112E18" w:rsidRDefault="00112E18" w:rsidP="00112E18">
            <w:pPr>
              <w:widowControl/>
              <w:jc w:val="left"/>
              <w:rPr>
                <w:rFonts w:ascii="宋体" w:eastAsia="宋体" w:hAnsi="宋体" w:cs="宋体"/>
                <w:kern w:val="0"/>
                <w:sz w:val="24"/>
                <w:szCs w:val="24"/>
              </w:rPr>
            </w:pPr>
            <w:r w:rsidRPr="00112E18">
              <w:rPr>
                <w:rFonts w:ascii="宋体" w:eastAsia="宋体" w:hAnsi="宋体" w:cs="宋体"/>
                <w:kern w:val="0"/>
                <w:sz w:val="24"/>
                <w:szCs w:val="24"/>
              </w:rPr>
              <w:t>24 小时</w:t>
            </w:r>
          </w:p>
        </w:tc>
      </w:tr>
      <w:tr w:rsidR="00112E18" w:rsidRPr="00112E18" w:rsidTr="00112E18">
        <w:trPr>
          <w:tblCellSpacing w:w="15" w:type="dxa"/>
        </w:trPr>
        <w:tc>
          <w:tcPr>
            <w:tcW w:w="7500" w:type="dxa"/>
            <w:vAlign w:val="center"/>
            <w:hideMark/>
          </w:tcPr>
          <w:p w:rsidR="00112E18" w:rsidRPr="00112E18" w:rsidRDefault="00112E18" w:rsidP="00112E18">
            <w:pPr>
              <w:widowControl/>
              <w:jc w:val="left"/>
              <w:rPr>
                <w:rFonts w:ascii="宋体" w:eastAsia="宋体" w:hAnsi="宋体" w:cs="宋体"/>
                <w:kern w:val="0"/>
                <w:sz w:val="24"/>
                <w:szCs w:val="24"/>
              </w:rPr>
            </w:pPr>
            <w:r w:rsidRPr="00112E18">
              <w:rPr>
                <w:rFonts w:ascii="宋体" w:eastAsia="宋体" w:hAnsi="宋体" w:cs="宋体"/>
                <w:kern w:val="0"/>
                <w:sz w:val="24"/>
                <w:szCs w:val="24"/>
              </w:rPr>
              <w:t>获取和提供关键文件和程序</w:t>
            </w:r>
          </w:p>
        </w:tc>
        <w:tc>
          <w:tcPr>
            <w:tcW w:w="3525" w:type="dxa"/>
            <w:vAlign w:val="center"/>
            <w:hideMark/>
          </w:tcPr>
          <w:p w:rsidR="00112E18" w:rsidRPr="00112E18" w:rsidRDefault="00112E18" w:rsidP="00112E18">
            <w:pPr>
              <w:widowControl/>
              <w:jc w:val="left"/>
              <w:rPr>
                <w:rFonts w:ascii="宋体" w:eastAsia="宋体" w:hAnsi="宋体" w:cs="宋体"/>
                <w:kern w:val="0"/>
                <w:sz w:val="24"/>
                <w:szCs w:val="24"/>
              </w:rPr>
            </w:pPr>
            <w:r w:rsidRPr="00112E18">
              <w:rPr>
                <w:rFonts w:ascii="宋体" w:eastAsia="宋体" w:hAnsi="宋体" w:cs="宋体"/>
                <w:kern w:val="0"/>
                <w:sz w:val="24"/>
                <w:szCs w:val="24"/>
              </w:rPr>
              <w:t>1 小时</w:t>
            </w:r>
          </w:p>
        </w:tc>
        <w:tc>
          <w:tcPr>
            <w:tcW w:w="3435" w:type="dxa"/>
            <w:vAlign w:val="center"/>
            <w:hideMark/>
          </w:tcPr>
          <w:p w:rsidR="00112E18" w:rsidRPr="00112E18" w:rsidRDefault="00112E18" w:rsidP="00112E18">
            <w:pPr>
              <w:widowControl/>
              <w:jc w:val="left"/>
              <w:rPr>
                <w:rFonts w:ascii="宋体" w:eastAsia="宋体" w:hAnsi="宋体" w:cs="宋体"/>
                <w:kern w:val="0"/>
                <w:sz w:val="24"/>
                <w:szCs w:val="24"/>
              </w:rPr>
            </w:pPr>
            <w:r w:rsidRPr="00112E18">
              <w:rPr>
                <w:rFonts w:ascii="宋体" w:eastAsia="宋体" w:hAnsi="宋体" w:cs="宋体"/>
                <w:kern w:val="0"/>
                <w:sz w:val="24"/>
                <w:szCs w:val="24"/>
              </w:rPr>
              <w:t>24 小时</w:t>
            </w:r>
          </w:p>
        </w:tc>
      </w:tr>
    </w:tbl>
    <w:p w:rsidR="00112E18" w:rsidRPr="00112E18" w:rsidRDefault="00112E18" w:rsidP="00112E18">
      <w:pPr>
        <w:widowControl/>
        <w:spacing w:before="100" w:beforeAutospacing="1" w:after="100" w:afterAutospacing="1"/>
        <w:jc w:val="left"/>
        <w:outlineLvl w:val="1"/>
        <w:rPr>
          <w:rFonts w:ascii="宋体" w:eastAsia="宋体" w:hAnsi="宋体" w:cs="宋体"/>
          <w:b/>
          <w:bCs/>
          <w:kern w:val="0"/>
          <w:sz w:val="36"/>
          <w:szCs w:val="36"/>
        </w:rPr>
      </w:pPr>
      <w:r w:rsidRPr="00112E18">
        <w:rPr>
          <w:rFonts w:ascii="宋体" w:eastAsia="宋体" w:hAnsi="宋体" w:cs="宋体"/>
          <w:b/>
          <w:bCs/>
          <w:kern w:val="0"/>
          <w:sz w:val="36"/>
          <w:szCs w:val="36"/>
        </w:rPr>
        <w:t>测试、练习、训练</w:t>
      </w:r>
    </w:p>
    <w:p w:rsidR="00112E18" w:rsidRPr="00112E18" w:rsidRDefault="00112E18" w:rsidP="00112E18">
      <w:pPr>
        <w:widowControl/>
        <w:spacing w:before="100" w:beforeAutospacing="1" w:after="100" w:afterAutospacing="1"/>
        <w:jc w:val="left"/>
        <w:outlineLvl w:val="2"/>
        <w:rPr>
          <w:rFonts w:ascii="宋体" w:eastAsia="宋体" w:hAnsi="宋体" w:cs="宋体"/>
          <w:b/>
          <w:bCs/>
          <w:kern w:val="0"/>
          <w:sz w:val="27"/>
          <w:szCs w:val="27"/>
        </w:rPr>
      </w:pPr>
      <w:r w:rsidRPr="00112E18">
        <w:rPr>
          <w:rFonts w:ascii="宋体" w:eastAsia="宋体" w:hAnsi="宋体" w:cs="宋体"/>
          <w:b/>
          <w:bCs/>
          <w:kern w:val="0"/>
          <w:sz w:val="27"/>
          <w:szCs w:val="27"/>
        </w:rPr>
        <w:t>应急计划与测试 - 开销平台</w:t>
      </w:r>
    </w:p>
    <w:p w:rsidR="00112E18" w:rsidRPr="00112E18" w:rsidRDefault="00112E18" w:rsidP="00112E18">
      <w:pPr>
        <w:widowControl/>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t>云运营团队负责应急计划的启动、管理和实施。云运营团队还负责日常运营，包括事故响应和主动维护。由于 Coupa 托管在 Amazon Web Services（AWS）上，而 AWS 在世界各地的多个数据中心和地理区域拥有巨大的容量和冗余，因此这些元素对 Coupa 和客户来说风险较低。 Coupa 目前运行一个灾难恢复站点策略，称为热点站点。</w:t>
      </w:r>
    </w:p>
    <w:p w:rsidR="00112E18" w:rsidRPr="00112E18" w:rsidRDefault="00112E18" w:rsidP="00112E18">
      <w:pPr>
        <w:widowControl/>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t>Coupa 数据中心的应急测试至少每年进行一次，以确保恢复过程和程序是成功的。最近一次测试于 2019 年 10 月 25 日完成，目标如下：</w:t>
      </w:r>
    </w:p>
    <w:p w:rsidR="00112E18" w:rsidRPr="00112E18" w:rsidRDefault="00112E18" w:rsidP="00112E18">
      <w:pPr>
        <w:widowControl/>
        <w:numPr>
          <w:ilvl w:val="0"/>
          <w:numId w:val="3"/>
        </w:numPr>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lastRenderedPageBreak/>
        <w:t>确定改进与系统恢复相关的文档和过程的机会</w:t>
      </w:r>
    </w:p>
    <w:p w:rsidR="00112E18" w:rsidRPr="00112E18" w:rsidRDefault="00112E18" w:rsidP="00112E18">
      <w:pPr>
        <w:widowControl/>
        <w:numPr>
          <w:ilvl w:val="0"/>
          <w:numId w:val="3"/>
        </w:numPr>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t>评估系统的有效性</w:t>
      </w:r>
    </w:p>
    <w:p w:rsidR="00112E18" w:rsidRPr="00112E18" w:rsidRDefault="00112E18" w:rsidP="00112E18">
      <w:pPr>
        <w:widowControl/>
        <w:numPr>
          <w:ilvl w:val="0"/>
          <w:numId w:val="3"/>
        </w:numPr>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t>评估自动化系统恢复的有效性</w:t>
      </w:r>
    </w:p>
    <w:p w:rsidR="00112E18" w:rsidRPr="00112E18" w:rsidRDefault="00112E18" w:rsidP="00112E18">
      <w:pPr>
        <w:widowControl/>
        <w:numPr>
          <w:ilvl w:val="0"/>
          <w:numId w:val="3"/>
        </w:numPr>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t>评估通知程序的有效性</w:t>
      </w:r>
    </w:p>
    <w:p w:rsidR="00112E18" w:rsidRPr="00112E18" w:rsidRDefault="00112E18" w:rsidP="00112E18">
      <w:pPr>
        <w:widowControl/>
        <w:numPr>
          <w:ilvl w:val="0"/>
          <w:numId w:val="3"/>
        </w:numPr>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t>在突发事件中评估系统功能和性能</w:t>
      </w:r>
    </w:p>
    <w:p w:rsidR="00112E18" w:rsidRPr="00112E18" w:rsidRDefault="00112E18" w:rsidP="00112E18">
      <w:pPr>
        <w:widowControl/>
        <w:numPr>
          <w:ilvl w:val="0"/>
          <w:numId w:val="3"/>
        </w:numPr>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t>评估恢复团队间协调的有效性</w:t>
      </w:r>
    </w:p>
    <w:p w:rsidR="00112E18" w:rsidRPr="00112E18" w:rsidRDefault="00112E18" w:rsidP="00112E18">
      <w:pPr>
        <w:widowControl/>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t>最当前的应急计划测试成功地完成了，文档也更新了。没有重大的发现或缺陷；服务是在预期的 RTO 参数范围内恢复的。此外，在任何需要数据恢复的测试用例场景中，都不会对我们的数据产生影响（损失），从而实现了我们的 RPO 。有一个小的发现：更新 S3 IAM 策略以获得区域桶访问。这将通过我们的售票系统进行监控，直到关闭为止。</w:t>
      </w:r>
    </w:p>
    <w:p w:rsidR="00112E18" w:rsidRPr="00112E18" w:rsidRDefault="00112E18" w:rsidP="00112E18">
      <w:pPr>
        <w:widowControl/>
        <w:spacing w:before="100" w:beforeAutospacing="1" w:after="100" w:afterAutospacing="1"/>
        <w:jc w:val="left"/>
        <w:outlineLvl w:val="1"/>
        <w:rPr>
          <w:rFonts w:ascii="宋体" w:eastAsia="宋体" w:hAnsi="宋体" w:cs="宋体"/>
          <w:b/>
          <w:bCs/>
          <w:kern w:val="0"/>
          <w:sz w:val="36"/>
          <w:szCs w:val="36"/>
        </w:rPr>
      </w:pPr>
      <w:r w:rsidRPr="00112E18">
        <w:rPr>
          <w:rFonts w:ascii="宋体" w:eastAsia="宋体" w:hAnsi="宋体" w:cs="宋体"/>
          <w:b/>
          <w:bCs/>
          <w:kern w:val="0"/>
          <w:sz w:val="36"/>
          <w:szCs w:val="36"/>
        </w:rPr>
        <w:t>业务连续性和活动恢复测试</w:t>
      </w:r>
    </w:p>
    <w:p w:rsidR="00112E18" w:rsidRPr="00112E18" w:rsidRDefault="00112E18" w:rsidP="00112E18">
      <w:pPr>
        <w:widowControl/>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t>为了验证 Coupa 执行有效业务连续性计划和程序的能力，将进行检查表和评审工作，以分析与 Coupa 业务连续性计划、活动恢复计划和事件响应计划相关的过程和程序。</w:t>
      </w:r>
    </w:p>
    <w:p w:rsidR="00112E18" w:rsidRPr="00112E18" w:rsidRDefault="00112E18" w:rsidP="00112E18">
      <w:pPr>
        <w:widowControl/>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t>每个活动都将提供一份清单，用于完成和审查业务连续性目标。检查表测试将涉及活动和合规经理对恢复技术的审查、审计、验证和验证。然后，将这些检查表用于促进内部讨论和团队培训，以帮助实现 Coupa 业务的连续性，方法如下：</w:t>
      </w:r>
    </w:p>
    <w:p w:rsidR="00112E18" w:rsidRPr="00112E18" w:rsidRDefault="00112E18" w:rsidP="00112E18">
      <w:pPr>
        <w:widowControl/>
        <w:numPr>
          <w:ilvl w:val="0"/>
          <w:numId w:val="4"/>
        </w:numPr>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t>确保所确定的程序符合 BCP 的目标，</w:t>
      </w:r>
    </w:p>
    <w:p w:rsidR="00112E18" w:rsidRPr="00112E18" w:rsidRDefault="00112E18" w:rsidP="00112E18">
      <w:pPr>
        <w:widowControl/>
        <w:numPr>
          <w:ilvl w:val="0"/>
          <w:numId w:val="4"/>
        </w:numPr>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t>确保 BCP 满足组织的需要，</w:t>
      </w:r>
    </w:p>
    <w:p w:rsidR="00112E18" w:rsidRPr="00112E18" w:rsidRDefault="00112E18" w:rsidP="00112E18">
      <w:pPr>
        <w:widowControl/>
        <w:numPr>
          <w:ilvl w:val="0"/>
          <w:numId w:val="4"/>
        </w:numPr>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t>确定 Coupa 人员所需的任何培训，以及</w:t>
      </w:r>
    </w:p>
    <w:p w:rsidR="00112E18" w:rsidRPr="00112E18" w:rsidRDefault="00112E18" w:rsidP="00112E18">
      <w:pPr>
        <w:widowControl/>
        <w:numPr>
          <w:ilvl w:val="0"/>
          <w:numId w:val="4"/>
        </w:numPr>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t>识别 BCP 和过程中的任何缺陷。</w:t>
      </w:r>
    </w:p>
    <w:p w:rsidR="00112E18" w:rsidRPr="00112E18" w:rsidRDefault="00112E18" w:rsidP="00112E18">
      <w:pPr>
        <w:widowControl/>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t>检查表包括检查计划是否准确的任务和提供的资源：为每个活动执行恢复计划，检查负责恢复的员工是否熟悉计划细节，检查计划中规定的所有步骤的执行情况，在预定的截止日期内完成所有义务，启动替代程序（如果需要），确保所有必要的资源（包括恢复数据），使个人团队成员之间的沟通和警告程序，对其他恢复团队、危机管理团队和其他相关方，实现与其他活动的恢复计划的协调，并创建评论或建议以改进计划。</w:t>
      </w:r>
    </w:p>
    <w:p w:rsidR="00112E18" w:rsidRPr="00112E18" w:rsidRDefault="00112E18" w:rsidP="00112E18">
      <w:pPr>
        <w:widowControl/>
        <w:spacing w:before="100" w:beforeAutospacing="1" w:after="100" w:afterAutospacing="1"/>
        <w:jc w:val="left"/>
        <w:outlineLvl w:val="1"/>
        <w:rPr>
          <w:rFonts w:ascii="宋体" w:eastAsia="宋体" w:hAnsi="宋体" w:cs="宋体"/>
          <w:b/>
          <w:bCs/>
          <w:kern w:val="0"/>
          <w:sz w:val="36"/>
          <w:szCs w:val="36"/>
        </w:rPr>
      </w:pPr>
      <w:r w:rsidRPr="00112E18">
        <w:rPr>
          <w:rFonts w:ascii="宋体" w:eastAsia="宋体" w:hAnsi="宋体" w:cs="宋体"/>
          <w:b/>
          <w:bCs/>
          <w:kern w:val="0"/>
          <w:sz w:val="36"/>
          <w:szCs w:val="36"/>
        </w:rPr>
        <w:t>事故应对演习与测试</w:t>
      </w:r>
    </w:p>
    <w:p w:rsidR="00112E18" w:rsidRPr="00112E18" w:rsidRDefault="00112E18" w:rsidP="00112E18">
      <w:pPr>
        <w:widowControl/>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t>使用上面描述的相同方法，为事故响应团队使用了一个检查表练习。此外，对于这个检查表方法，还进行了桌面练习。桌面练习是一种基于讨论的活动，参与者在一个 “教室”环境中开会，讨论他们将采取的应对事件的行动。桌面是人员讨论与危机场景相关的所有问题的有效的初始步骤。这些练习提供了一个极好的论坛来审查角色和责任，发掘相互依赖，评估计划。</w:t>
      </w:r>
    </w:p>
    <w:p w:rsidR="00112E18" w:rsidRPr="00112E18" w:rsidRDefault="00112E18" w:rsidP="00112E18">
      <w:pPr>
        <w:widowControl/>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lastRenderedPageBreak/>
        <w:t>本次演习的参与者将看到影响事故应对计划的情景。主持人将帮助指导讨论，提出的问题，旨在解决演习的目标。主持人可以选择对场景进行修改，以进一步刺激讨论。大会亦鼓励参加者互相提问。</w:t>
      </w:r>
    </w:p>
    <w:p w:rsidR="00112E18" w:rsidRPr="00112E18" w:rsidRDefault="00112E18" w:rsidP="00112E18">
      <w:pPr>
        <w:widowControl/>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t>以下是这项工作的目标：</w:t>
      </w:r>
    </w:p>
    <w:p w:rsidR="00112E18" w:rsidRPr="00112E18" w:rsidRDefault="00112E18" w:rsidP="00112E18">
      <w:pPr>
        <w:widowControl/>
        <w:numPr>
          <w:ilvl w:val="0"/>
          <w:numId w:val="5"/>
        </w:numPr>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t>验证团队识别事件的能力。</w:t>
      </w:r>
    </w:p>
    <w:p w:rsidR="00112E18" w:rsidRPr="00112E18" w:rsidRDefault="00112E18" w:rsidP="00112E18">
      <w:pPr>
        <w:widowControl/>
        <w:numPr>
          <w:ilvl w:val="0"/>
          <w:numId w:val="5"/>
        </w:numPr>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t>验证团队对已确认的事件做出反应的能力。</w:t>
      </w:r>
    </w:p>
    <w:p w:rsidR="00112E18" w:rsidRPr="00112E18" w:rsidRDefault="00112E18" w:rsidP="00112E18">
      <w:pPr>
        <w:widowControl/>
        <w:numPr>
          <w:ilvl w:val="0"/>
          <w:numId w:val="5"/>
        </w:numPr>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t>确定需要进行的任何额外培训，以确保所有负有事故反应职责的人员都能熟练地完成所分配的职责。</w:t>
      </w:r>
    </w:p>
    <w:p w:rsidR="00112E18" w:rsidRPr="00112E18" w:rsidRDefault="00112E18" w:rsidP="00112E18">
      <w:pPr>
        <w:widowControl/>
        <w:numPr>
          <w:ilvl w:val="0"/>
          <w:numId w:val="5"/>
        </w:numPr>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t>确定事故响应计划中的任何缺陷。</w:t>
      </w:r>
    </w:p>
    <w:p w:rsidR="00112E18" w:rsidRPr="00112E18" w:rsidRDefault="00112E18" w:rsidP="00112E18">
      <w:pPr>
        <w:widowControl/>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t>目标将通过在所述场景中讨论事件处理阶段（准备；识别；遏制；根除；恢复；后续行动）来实现。事件反应小组成员回答调解人向小组提出的关于他们在事件反应过程中的作用的问题。事件响应计划已提供给所有团队成员作为测试的参考。请记住，这不是一个测试，而是一个工具，Coupa将使用它来衡量我们目前对事件的反应能力。对于事件响应团队成员来说，这既是一种学习机制，也是运动促进者的学习机制。这些演习的数据将有助于 Coupa 制定经验教训，并将这些发现纳入管理我们的事故反应能力的政策和程序中。这些练习还将帮助小组成员了解他们在 IR 过程中职责范围以外的所有作用，以便全面了解这些过程和程序将有助于对今后发生的事件作出顺利的反应。</w:t>
      </w:r>
    </w:p>
    <w:p w:rsidR="00112E18" w:rsidRPr="00112E18" w:rsidRDefault="00112E18" w:rsidP="00112E18">
      <w:pPr>
        <w:widowControl/>
        <w:spacing w:before="100" w:beforeAutospacing="1" w:after="100" w:afterAutospacing="1"/>
        <w:jc w:val="left"/>
        <w:outlineLvl w:val="1"/>
        <w:rPr>
          <w:rFonts w:ascii="宋体" w:eastAsia="宋体" w:hAnsi="宋体" w:cs="宋体"/>
          <w:b/>
          <w:bCs/>
          <w:kern w:val="0"/>
          <w:sz w:val="36"/>
          <w:szCs w:val="36"/>
        </w:rPr>
      </w:pPr>
      <w:r w:rsidRPr="00112E18">
        <w:rPr>
          <w:rFonts w:ascii="宋体" w:eastAsia="宋体" w:hAnsi="宋体" w:cs="宋体"/>
          <w:b/>
          <w:bCs/>
          <w:kern w:val="0"/>
          <w:sz w:val="36"/>
          <w:szCs w:val="36"/>
        </w:rPr>
        <w:t>业务连续性、活动恢复和事件响应测试结果</w:t>
      </w:r>
    </w:p>
    <w:p w:rsidR="00112E18" w:rsidRPr="00112E18" w:rsidRDefault="00112E18" w:rsidP="00112E18">
      <w:pPr>
        <w:widowControl/>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t>对业务连续性和事件响应测试/练习的结果进行审查，并将其合并为一份企业报告。这份报告将提交给领导和 ERM 团队进行审查和采取行动。任何不符合项或发现项都将记录在 ERM 售票队列中，以便进行纠正和关闭。合规经理负责完成报告并跟踪不合格情况。在最近的测试和锻炼期间，没有发现主要的结果。所有次要的发现都已记录在案，并将被跟踪，直到它们被解决为止。</w:t>
      </w:r>
    </w:p>
    <w:p w:rsidR="00112E18" w:rsidRPr="00112E18" w:rsidRDefault="00112E18" w:rsidP="00112E18">
      <w:pPr>
        <w:widowControl/>
        <w:spacing w:before="100" w:beforeAutospacing="1" w:after="100" w:afterAutospacing="1"/>
        <w:jc w:val="left"/>
        <w:outlineLvl w:val="1"/>
        <w:rPr>
          <w:rFonts w:ascii="宋体" w:eastAsia="宋体" w:hAnsi="宋体" w:cs="宋体"/>
          <w:b/>
          <w:bCs/>
          <w:kern w:val="0"/>
          <w:sz w:val="36"/>
          <w:szCs w:val="36"/>
        </w:rPr>
      </w:pPr>
      <w:r w:rsidRPr="00112E18">
        <w:rPr>
          <w:rFonts w:ascii="宋体" w:eastAsia="宋体" w:hAnsi="宋体" w:cs="宋体"/>
          <w:b/>
          <w:bCs/>
          <w:kern w:val="0"/>
          <w:sz w:val="36"/>
          <w:szCs w:val="36"/>
        </w:rPr>
        <w:t>激活/通知</w:t>
      </w:r>
    </w:p>
    <w:p w:rsidR="00112E18" w:rsidRPr="00112E18" w:rsidRDefault="00112E18" w:rsidP="00112E18">
      <w:pPr>
        <w:widowControl/>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t>Coupa 为客户制定了灾难恢复通信计划。已经建立了与客户沟通的过程，以便在灾难发生时通过各种渠道与客户沟通。客户和涉众可以通过 Coupa 支持门户或 Coupa 网站查看 Coupa 花费平台的状态。</w:t>
      </w:r>
    </w:p>
    <w:p w:rsidR="00112E18" w:rsidRPr="00112E18" w:rsidRDefault="00112E18" w:rsidP="00112E18">
      <w:pPr>
        <w:widowControl/>
        <w:spacing w:before="100" w:beforeAutospacing="1" w:after="100" w:afterAutospacing="1"/>
        <w:jc w:val="left"/>
        <w:outlineLvl w:val="1"/>
        <w:rPr>
          <w:rFonts w:ascii="宋体" w:eastAsia="宋体" w:hAnsi="宋体" w:cs="宋体"/>
          <w:b/>
          <w:bCs/>
          <w:kern w:val="0"/>
          <w:sz w:val="36"/>
          <w:szCs w:val="36"/>
        </w:rPr>
      </w:pPr>
      <w:r w:rsidRPr="00112E18">
        <w:rPr>
          <w:rFonts w:ascii="宋体" w:eastAsia="宋体" w:hAnsi="宋体" w:cs="宋体"/>
          <w:b/>
          <w:bCs/>
          <w:kern w:val="0"/>
          <w:sz w:val="36"/>
          <w:szCs w:val="36"/>
        </w:rPr>
        <w:t>业务连续性和事故应对培训</w:t>
      </w:r>
    </w:p>
    <w:p w:rsidR="00112E18" w:rsidRPr="00112E18" w:rsidRDefault="00112E18" w:rsidP="00112E18">
      <w:pPr>
        <w:widowControl/>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t>在基于 CoupaU 计算机的培训图书馆中增加了业务连续性和事件响应培训。对业务连续性和事件响应至关重要的团队成员每年都要修这门课。</w:t>
      </w:r>
    </w:p>
    <w:p w:rsidR="00112E18" w:rsidRPr="00112E18" w:rsidRDefault="00112E18" w:rsidP="00112E18">
      <w:pPr>
        <w:widowControl/>
        <w:spacing w:before="100" w:beforeAutospacing="1" w:after="100" w:afterAutospacing="1"/>
        <w:jc w:val="left"/>
        <w:outlineLvl w:val="2"/>
        <w:rPr>
          <w:rFonts w:ascii="宋体" w:eastAsia="宋体" w:hAnsi="宋体" w:cs="宋体"/>
          <w:b/>
          <w:bCs/>
          <w:kern w:val="0"/>
          <w:sz w:val="27"/>
          <w:szCs w:val="27"/>
        </w:rPr>
      </w:pPr>
      <w:r w:rsidRPr="00112E18">
        <w:rPr>
          <w:rFonts w:ascii="宋体" w:eastAsia="宋体" w:hAnsi="宋体" w:cs="宋体"/>
          <w:b/>
          <w:bCs/>
          <w:kern w:val="0"/>
          <w:sz w:val="27"/>
          <w:szCs w:val="27"/>
        </w:rPr>
        <w:t>课程内容：</w:t>
      </w:r>
    </w:p>
    <w:p w:rsidR="00112E18" w:rsidRPr="00112E18" w:rsidRDefault="00112E18" w:rsidP="00112E18">
      <w:pPr>
        <w:widowControl/>
        <w:numPr>
          <w:ilvl w:val="0"/>
          <w:numId w:val="6"/>
        </w:numPr>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lastRenderedPageBreak/>
        <w:t>目的</w:t>
      </w:r>
    </w:p>
    <w:p w:rsidR="00112E18" w:rsidRPr="00112E18" w:rsidRDefault="00112E18" w:rsidP="00112E18">
      <w:pPr>
        <w:widowControl/>
        <w:numPr>
          <w:ilvl w:val="0"/>
          <w:numId w:val="6"/>
        </w:numPr>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t>业务连续性</w:t>
      </w:r>
    </w:p>
    <w:p w:rsidR="00112E18" w:rsidRPr="00112E18" w:rsidRDefault="00112E18" w:rsidP="00112E18">
      <w:pPr>
        <w:widowControl/>
        <w:numPr>
          <w:ilvl w:val="1"/>
          <w:numId w:val="6"/>
        </w:numPr>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t>概览</w:t>
      </w:r>
    </w:p>
    <w:p w:rsidR="00112E18" w:rsidRPr="00112E18" w:rsidRDefault="00112E18" w:rsidP="00112E18">
      <w:pPr>
        <w:widowControl/>
        <w:numPr>
          <w:ilvl w:val="1"/>
          <w:numId w:val="6"/>
        </w:numPr>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t>程序部件</w:t>
      </w:r>
    </w:p>
    <w:p w:rsidR="00112E18" w:rsidRPr="00112E18" w:rsidRDefault="00112E18" w:rsidP="00112E18">
      <w:pPr>
        <w:widowControl/>
        <w:numPr>
          <w:ilvl w:val="1"/>
          <w:numId w:val="6"/>
        </w:numPr>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t>资料和文件</w:t>
      </w:r>
    </w:p>
    <w:p w:rsidR="00112E18" w:rsidRPr="00112E18" w:rsidRDefault="00112E18" w:rsidP="00112E18">
      <w:pPr>
        <w:widowControl/>
        <w:numPr>
          <w:ilvl w:val="1"/>
          <w:numId w:val="6"/>
        </w:numPr>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t>当前状态</w:t>
      </w:r>
    </w:p>
    <w:p w:rsidR="00112E18" w:rsidRPr="00112E18" w:rsidRDefault="00112E18" w:rsidP="00112E18">
      <w:pPr>
        <w:widowControl/>
        <w:numPr>
          <w:ilvl w:val="1"/>
          <w:numId w:val="6"/>
        </w:numPr>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t>资源</w:t>
      </w:r>
    </w:p>
    <w:p w:rsidR="00112E18" w:rsidRPr="00112E18" w:rsidRDefault="00112E18" w:rsidP="00112E18">
      <w:pPr>
        <w:widowControl/>
        <w:numPr>
          <w:ilvl w:val="1"/>
          <w:numId w:val="6"/>
        </w:numPr>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t>关键活动</w:t>
      </w:r>
    </w:p>
    <w:p w:rsidR="00112E18" w:rsidRPr="00112E18" w:rsidRDefault="00112E18" w:rsidP="00112E18">
      <w:pPr>
        <w:widowControl/>
        <w:numPr>
          <w:ilvl w:val="0"/>
          <w:numId w:val="6"/>
        </w:numPr>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t>恢复优先级和恢复时间目标</w:t>
      </w:r>
    </w:p>
    <w:p w:rsidR="00112E18" w:rsidRPr="00112E18" w:rsidRDefault="00112E18" w:rsidP="00112E18">
      <w:pPr>
        <w:widowControl/>
        <w:numPr>
          <w:ilvl w:val="0"/>
          <w:numId w:val="6"/>
        </w:numPr>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t>BCP 角色和职责</w:t>
      </w:r>
    </w:p>
    <w:p w:rsidR="00112E18" w:rsidRPr="00112E18" w:rsidRDefault="00112E18" w:rsidP="00112E18">
      <w:pPr>
        <w:widowControl/>
        <w:numPr>
          <w:ilvl w:val="0"/>
          <w:numId w:val="6"/>
        </w:numPr>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t>事件</w:t>
      </w:r>
    </w:p>
    <w:p w:rsidR="00112E18" w:rsidRPr="00112E18" w:rsidRDefault="00112E18" w:rsidP="00112E18">
      <w:pPr>
        <w:widowControl/>
        <w:numPr>
          <w:ilvl w:val="1"/>
          <w:numId w:val="6"/>
        </w:numPr>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t>管理概述</w:t>
      </w:r>
    </w:p>
    <w:p w:rsidR="00112E18" w:rsidRPr="00112E18" w:rsidRDefault="00112E18" w:rsidP="00112E18">
      <w:pPr>
        <w:widowControl/>
        <w:numPr>
          <w:ilvl w:val="1"/>
          <w:numId w:val="6"/>
        </w:numPr>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t>角色与责任</w:t>
      </w:r>
    </w:p>
    <w:p w:rsidR="00112E18" w:rsidRPr="00112E18" w:rsidRDefault="00112E18" w:rsidP="00112E18">
      <w:pPr>
        <w:widowControl/>
        <w:numPr>
          <w:ilvl w:val="1"/>
          <w:numId w:val="6"/>
        </w:numPr>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t>例子</w:t>
      </w:r>
    </w:p>
    <w:p w:rsidR="00112E18" w:rsidRPr="00112E18" w:rsidRDefault="00112E18" w:rsidP="00112E18">
      <w:pPr>
        <w:widowControl/>
        <w:numPr>
          <w:ilvl w:val="1"/>
          <w:numId w:val="6"/>
        </w:numPr>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t>响应计划</w:t>
      </w:r>
    </w:p>
    <w:p w:rsidR="00112E18" w:rsidRPr="00112E18" w:rsidRDefault="00112E18" w:rsidP="00112E18">
      <w:pPr>
        <w:widowControl/>
        <w:numPr>
          <w:ilvl w:val="1"/>
          <w:numId w:val="6"/>
        </w:numPr>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t>处理</w:t>
      </w:r>
    </w:p>
    <w:p w:rsidR="00112E18" w:rsidRPr="00112E18" w:rsidRDefault="00112E18" w:rsidP="00112E18">
      <w:pPr>
        <w:widowControl/>
        <w:numPr>
          <w:ilvl w:val="1"/>
          <w:numId w:val="6"/>
        </w:numPr>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t>通讯</w:t>
      </w:r>
    </w:p>
    <w:p w:rsidR="00112E18" w:rsidRPr="00112E18" w:rsidRDefault="00112E18" w:rsidP="00112E18">
      <w:pPr>
        <w:widowControl/>
        <w:numPr>
          <w:ilvl w:val="0"/>
          <w:numId w:val="6"/>
        </w:numPr>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t>小测验</w:t>
      </w:r>
    </w:p>
    <w:p w:rsidR="00112E18" w:rsidRPr="00112E18" w:rsidRDefault="00112E18" w:rsidP="00112E18">
      <w:pPr>
        <w:widowControl/>
        <w:spacing w:before="100" w:beforeAutospacing="1" w:after="100" w:afterAutospacing="1"/>
        <w:jc w:val="left"/>
        <w:rPr>
          <w:rFonts w:ascii="宋体" w:eastAsia="宋体" w:hAnsi="宋体" w:cs="宋体"/>
          <w:kern w:val="0"/>
          <w:sz w:val="24"/>
          <w:szCs w:val="24"/>
        </w:rPr>
      </w:pPr>
      <w:r w:rsidRPr="00112E18">
        <w:rPr>
          <w:rFonts w:ascii="宋体" w:eastAsia="宋体" w:hAnsi="宋体" w:cs="宋体"/>
          <w:kern w:val="0"/>
          <w:sz w:val="24"/>
          <w:szCs w:val="24"/>
        </w:rPr>
        <w:t>所有 BCP 和 IR 团队成员都必须每年接受此培训。</w:t>
      </w:r>
    </w:p>
    <w:p w:rsidR="00CF4E0C" w:rsidRDefault="00CF4E0C">
      <w:bookmarkStart w:id="0" w:name="_GoBack"/>
      <w:bookmarkEnd w:id="0"/>
    </w:p>
    <w:sectPr w:rsidR="00CF4E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D1D9B"/>
    <w:multiLevelType w:val="multilevel"/>
    <w:tmpl w:val="D9309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E84B36"/>
    <w:multiLevelType w:val="multilevel"/>
    <w:tmpl w:val="40406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6F6398"/>
    <w:multiLevelType w:val="multilevel"/>
    <w:tmpl w:val="13D6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9A76CA"/>
    <w:multiLevelType w:val="multilevel"/>
    <w:tmpl w:val="D35CE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AE421F"/>
    <w:multiLevelType w:val="multilevel"/>
    <w:tmpl w:val="C1F0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B625E2"/>
    <w:multiLevelType w:val="multilevel"/>
    <w:tmpl w:val="F824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0B9"/>
    <w:rsid w:val="00112E18"/>
    <w:rsid w:val="005340B9"/>
    <w:rsid w:val="00CF4E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606343-C89A-415E-9114-6F3F937E7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112E1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112E1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12E18"/>
    <w:rPr>
      <w:rFonts w:ascii="宋体" w:eastAsia="宋体" w:hAnsi="宋体" w:cs="宋体"/>
      <w:b/>
      <w:bCs/>
      <w:kern w:val="0"/>
      <w:sz w:val="36"/>
      <w:szCs w:val="36"/>
    </w:rPr>
  </w:style>
  <w:style w:type="character" w:customStyle="1" w:styleId="30">
    <w:name w:val="标题 3 字符"/>
    <w:basedOn w:val="a0"/>
    <w:link w:val="3"/>
    <w:uiPriority w:val="9"/>
    <w:rsid w:val="00112E18"/>
    <w:rPr>
      <w:rFonts w:ascii="宋体" w:eastAsia="宋体" w:hAnsi="宋体" w:cs="宋体"/>
      <w:b/>
      <w:bCs/>
      <w:kern w:val="0"/>
      <w:sz w:val="27"/>
      <w:szCs w:val="27"/>
    </w:rPr>
  </w:style>
  <w:style w:type="paragraph" w:styleId="a3">
    <w:name w:val="Normal (Web)"/>
    <w:basedOn w:val="a"/>
    <w:uiPriority w:val="99"/>
    <w:semiHidden/>
    <w:unhideWhenUsed/>
    <w:rsid w:val="00112E1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3537338">
      <w:bodyDiv w:val="1"/>
      <w:marLeft w:val="0"/>
      <w:marRight w:val="0"/>
      <w:marTop w:val="0"/>
      <w:marBottom w:val="0"/>
      <w:divBdr>
        <w:top w:val="none" w:sz="0" w:space="0" w:color="auto"/>
        <w:left w:val="none" w:sz="0" w:space="0" w:color="auto"/>
        <w:bottom w:val="none" w:sz="0" w:space="0" w:color="auto"/>
        <w:right w:val="none" w:sz="0" w:space="0" w:color="auto"/>
      </w:divBdr>
      <w:divsChild>
        <w:div w:id="1809473723">
          <w:marLeft w:val="0"/>
          <w:marRight w:val="0"/>
          <w:marTop w:val="0"/>
          <w:marBottom w:val="0"/>
          <w:divBdr>
            <w:top w:val="none" w:sz="0" w:space="0" w:color="auto"/>
            <w:left w:val="none" w:sz="0" w:space="0" w:color="auto"/>
            <w:bottom w:val="none" w:sz="0" w:space="0" w:color="auto"/>
            <w:right w:val="none" w:sz="0" w:space="0" w:color="auto"/>
          </w:divBdr>
        </w:div>
        <w:div w:id="434640328">
          <w:marLeft w:val="0"/>
          <w:marRight w:val="0"/>
          <w:marTop w:val="0"/>
          <w:marBottom w:val="0"/>
          <w:divBdr>
            <w:top w:val="none" w:sz="0" w:space="0" w:color="auto"/>
            <w:left w:val="none" w:sz="0" w:space="0" w:color="auto"/>
            <w:bottom w:val="none" w:sz="0" w:space="0" w:color="auto"/>
            <w:right w:val="none" w:sz="0" w:space="0" w:color="auto"/>
          </w:divBdr>
        </w:div>
        <w:div w:id="467675088">
          <w:marLeft w:val="0"/>
          <w:marRight w:val="0"/>
          <w:marTop w:val="0"/>
          <w:marBottom w:val="0"/>
          <w:divBdr>
            <w:top w:val="none" w:sz="0" w:space="0" w:color="auto"/>
            <w:left w:val="none" w:sz="0" w:space="0" w:color="auto"/>
            <w:bottom w:val="none" w:sz="0" w:space="0" w:color="auto"/>
            <w:right w:val="none" w:sz="0" w:space="0" w:color="auto"/>
          </w:divBdr>
        </w:div>
        <w:div w:id="945650936">
          <w:marLeft w:val="0"/>
          <w:marRight w:val="0"/>
          <w:marTop w:val="0"/>
          <w:marBottom w:val="0"/>
          <w:divBdr>
            <w:top w:val="none" w:sz="0" w:space="0" w:color="auto"/>
            <w:left w:val="none" w:sz="0" w:space="0" w:color="auto"/>
            <w:bottom w:val="none" w:sz="0" w:space="0" w:color="auto"/>
            <w:right w:val="none" w:sz="0" w:space="0" w:color="auto"/>
          </w:divBdr>
        </w:div>
        <w:div w:id="1592348890">
          <w:marLeft w:val="0"/>
          <w:marRight w:val="0"/>
          <w:marTop w:val="0"/>
          <w:marBottom w:val="0"/>
          <w:divBdr>
            <w:top w:val="none" w:sz="0" w:space="0" w:color="auto"/>
            <w:left w:val="none" w:sz="0" w:space="0" w:color="auto"/>
            <w:bottom w:val="none" w:sz="0" w:space="0" w:color="auto"/>
            <w:right w:val="none" w:sz="0" w:space="0" w:color="auto"/>
          </w:divBdr>
          <w:divsChild>
            <w:div w:id="880022388">
              <w:marLeft w:val="0"/>
              <w:marRight w:val="0"/>
              <w:marTop w:val="0"/>
              <w:marBottom w:val="0"/>
              <w:divBdr>
                <w:top w:val="none" w:sz="0" w:space="0" w:color="auto"/>
                <w:left w:val="none" w:sz="0" w:space="0" w:color="auto"/>
                <w:bottom w:val="none" w:sz="0" w:space="0" w:color="auto"/>
                <w:right w:val="none" w:sz="0" w:space="0" w:color="auto"/>
              </w:divBdr>
            </w:div>
          </w:divsChild>
        </w:div>
        <w:div w:id="953828015">
          <w:marLeft w:val="0"/>
          <w:marRight w:val="0"/>
          <w:marTop w:val="0"/>
          <w:marBottom w:val="0"/>
          <w:divBdr>
            <w:top w:val="none" w:sz="0" w:space="0" w:color="auto"/>
            <w:left w:val="none" w:sz="0" w:space="0" w:color="auto"/>
            <w:bottom w:val="none" w:sz="0" w:space="0" w:color="auto"/>
            <w:right w:val="none" w:sz="0" w:space="0" w:color="auto"/>
          </w:divBdr>
        </w:div>
        <w:div w:id="631443916">
          <w:marLeft w:val="0"/>
          <w:marRight w:val="0"/>
          <w:marTop w:val="0"/>
          <w:marBottom w:val="0"/>
          <w:divBdr>
            <w:top w:val="none" w:sz="0" w:space="0" w:color="auto"/>
            <w:left w:val="none" w:sz="0" w:space="0" w:color="auto"/>
            <w:bottom w:val="none" w:sz="0" w:space="0" w:color="auto"/>
            <w:right w:val="none" w:sz="0" w:space="0" w:color="auto"/>
          </w:divBdr>
        </w:div>
        <w:div w:id="1250653593">
          <w:marLeft w:val="0"/>
          <w:marRight w:val="0"/>
          <w:marTop w:val="0"/>
          <w:marBottom w:val="0"/>
          <w:divBdr>
            <w:top w:val="none" w:sz="0" w:space="0" w:color="auto"/>
            <w:left w:val="none" w:sz="0" w:space="0" w:color="auto"/>
            <w:bottom w:val="none" w:sz="0" w:space="0" w:color="auto"/>
            <w:right w:val="none" w:sz="0" w:space="0" w:color="auto"/>
          </w:divBdr>
        </w:div>
        <w:div w:id="496313218">
          <w:marLeft w:val="0"/>
          <w:marRight w:val="0"/>
          <w:marTop w:val="0"/>
          <w:marBottom w:val="0"/>
          <w:divBdr>
            <w:top w:val="none" w:sz="0" w:space="0" w:color="auto"/>
            <w:left w:val="none" w:sz="0" w:space="0" w:color="auto"/>
            <w:bottom w:val="none" w:sz="0" w:space="0" w:color="auto"/>
            <w:right w:val="none" w:sz="0" w:space="0" w:color="auto"/>
          </w:divBdr>
        </w:div>
        <w:div w:id="1921871425">
          <w:marLeft w:val="0"/>
          <w:marRight w:val="0"/>
          <w:marTop w:val="0"/>
          <w:marBottom w:val="0"/>
          <w:divBdr>
            <w:top w:val="none" w:sz="0" w:space="0" w:color="auto"/>
            <w:left w:val="none" w:sz="0" w:space="0" w:color="auto"/>
            <w:bottom w:val="none" w:sz="0" w:space="0" w:color="auto"/>
            <w:right w:val="none" w:sz="0" w:space="0" w:color="auto"/>
          </w:divBdr>
          <w:divsChild>
            <w:div w:id="68683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579</Words>
  <Characters>3301</Characters>
  <Application>Microsoft Office Word</Application>
  <DocSecurity>0</DocSecurity>
  <Lines>27</Lines>
  <Paragraphs>7</Paragraphs>
  <ScaleCrop>false</ScaleCrop>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3</cp:revision>
  <dcterms:created xsi:type="dcterms:W3CDTF">2020-03-26T08:53:00Z</dcterms:created>
  <dcterms:modified xsi:type="dcterms:W3CDTF">2020-03-26T08:53:00Z</dcterms:modified>
</cp:coreProperties>
</file>