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3E" w:rsidRPr="00F2243E" w:rsidRDefault="00F2243E" w:rsidP="00F2243E">
      <w:pPr>
        <w:widowControl/>
        <w:numPr>
          <w:ilvl w:val="0"/>
          <w:numId w:val="1"/>
        </w:numPr>
        <w:spacing w:before="100" w:beforeAutospacing="1" w:after="100" w:afterAutospacing="1"/>
        <w:jc w:val="left"/>
        <w:rPr>
          <w:rFonts w:ascii="宋体" w:eastAsia="宋体" w:hAnsi="宋体" w:cs="宋体"/>
          <w:kern w:val="0"/>
          <w:sz w:val="24"/>
          <w:szCs w:val="24"/>
        </w:rPr>
      </w:pPr>
    </w:p>
    <w:p w:rsidR="00F2243E" w:rsidRDefault="00F2243E" w:rsidP="00F2243E">
      <w:pPr>
        <w:widowControl/>
        <w:numPr>
          <w:ilvl w:val="0"/>
          <w:numId w:val="2"/>
        </w:numPr>
        <w:jc w:val="left"/>
        <w:rPr>
          <w:rFonts w:ascii="宋体" w:eastAsia="宋体" w:hAnsi="宋体" w:cs="宋体"/>
          <w:kern w:val="0"/>
          <w:sz w:val="24"/>
          <w:szCs w:val="24"/>
        </w:rPr>
      </w:pPr>
      <w:hyperlink r:id="rId5" w:tooltip="Coupa GovCloud and ITAR Compliance" w:history="1">
        <w:r w:rsidRPr="00F2243E">
          <w:rPr>
            <w:rFonts w:ascii="宋体" w:eastAsia="宋体" w:hAnsi="宋体" w:cs="宋体"/>
            <w:color w:val="0000FF"/>
            <w:kern w:val="0"/>
            <w:sz w:val="24"/>
            <w:szCs w:val="24"/>
            <w:u w:val="single"/>
          </w:rPr>
          <w:t>Coupa GovCloud 和 ITAR 遵从性</w:t>
        </w:r>
      </w:hyperlink>
    </w:p>
    <w:p w:rsidR="00F2243E" w:rsidRPr="00F2243E" w:rsidRDefault="00F2243E" w:rsidP="00F2243E">
      <w:pPr>
        <w:pStyle w:val="a5"/>
        <w:widowControl/>
        <w:numPr>
          <w:ilvl w:val="0"/>
          <w:numId w:val="2"/>
        </w:numPr>
        <w:spacing w:before="100" w:beforeAutospacing="1" w:after="100" w:afterAutospacing="1"/>
        <w:ind w:firstLineChars="0"/>
        <w:jc w:val="left"/>
        <w:outlineLvl w:val="1"/>
        <w:rPr>
          <w:rFonts w:ascii="宋体" w:eastAsia="宋体" w:hAnsi="宋体" w:cs="宋体"/>
          <w:b/>
          <w:bCs/>
          <w:kern w:val="0"/>
          <w:sz w:val="36"/>
          <w:szCs w:val="36"/>
        </w:rPr>
      </w:pPr>
      <w:r w:rsidRPr="00F2243E">
        <w:rPr>
          <w:rFonts w:ascii="宋体" w:eastAsia="宋体" w:hAnsi="宋体" w:cs="宋体"/>
          <w:b/>
          <w:bCs/>
          <w:kern w:val="0"/>
          <w:sz w:val="36"/>
          <w:szCs w:val="36"/>
        </w:rPr>
        <w:t>GovCloud 和 Itar</w:t>
      </w:r>
    </w:p>
    <w:p w:rsidR="00F2243E" w:rsidRPr="00F2243E" w:rsidRDefault="00F2243E" w:rsidP="00F2243E">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F2243E">
        <w:rPr>
          <w:rFonts w:ascii="宋体" w:eastAsia="宋体" w:hAnsi="宋体" w:cs="宋体"/>
          <w:kern w:val="0"/>
          <w:sz w:val="24"/>
          <w:szCs w:val="24"/>
        </w:rPr>
        <w:t>Coupa 致力于与美国联邦、州、地方政府机构、客户和承包商合作，提供该行业急需的储蓄。</w:t>
      </w:r>
    </w:p>
    <w:p w:rsidR="00F2243E" w:rsidRPr="00F2243E" w:rsidRDefault="00F2243E" w:rsidP="00F2243E">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F2243E">
        <w:rPr>
          <w:rFonts w:ascii="宋体" w:eastAsia="宋体" w:hAnsi="宋体" w:cs="宋体"/>
          <w:kern w:val="0"/>
          <w:sz w:val="24"/>
          <w:szCs w:val="24"/>
        </w:rPr>
        <w:t>作为管理一个全面的 ITAR（国际军控交易）合规计划的一部分，遵守 ITAR 法规的公司必须通过限制对美国人的受保护数据的访问和限制这些数据在美国境内的实际位置来控制非预期出口。 Coupa GovCloud 提供了一个物理上位于美国的环境，Coupa人员的访问仅限于美国人，从而允许合格的公司传输、处理和存储受 ITAR 限制的受保护的物品和数据。这种环境已经被一个独立的第三方审计，以验证是否存在适当的控制。</w:t>
      </w:r>
    </w:p>
    <w:p w:rsidR="00F2243E" w:rsidRPr="00F2243E" w:rsidRDefault="00F2243E" w:rsidP="00F2243E">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F2243E">
        <w:rPr>
          <w:rFonts w:ascii="宋体" w:eastAsia="宋体" w:hAnsi="宋体" w:cs="宋体"/>
          <w:kern w:val="0"/>
          <w:sz w:val="24"/>
          <w:szCs w:val="24"/>
        </w:rPr>
        <w:t>可以通过 self serve 链接索取 Coupa Itar 认证报告的副本：</w:t>
      </w:r>
      <w:hyperlink r:id="rId6" w:tgtFrame="_blank" w:tooltip="Coupa GovCloud and ITAR Compliance" w:history="1">
        <w:r w:rsidRPr="00F2243E">
          <w:rPr>
            <w:rFonts w:ascii="宋体" w:eastAsia="宋体" w:hAnsi="宋体" w:cs="宋体"/>
            <w:color w:val="0000FF"/>
            <w:kern w:val="0"/>
            <w:sz w:val="24"/>
            <w:szCs w:val="24"/>
            <w:u w:val="single"/>
          </w:rPr>
          <w:t>Coupa 遵从性报告请求</w:t>
        </w:r>
      </w:hyperlink>
      <w:r w:rsidRPr="00F2243E">
        <w:rPr>
          <w:rFonts w:ascii="宋体" w:eastAsia="宋体" w:hAnsi="宋体" w:cs="宋体"/>
          <w:kern w:val="0"/>
          <w:sz w:val="24"/>
          <w:szCs w:val="24"/>
        </w:rPr>
        <w:t>.</w:t>
      </w:r>
    </w:p>
    <w:p w:rsidR="00F2243E" w:rsidRPr="00F2243E" w:rsidRDefault="00F2243E" w:rsidP="00F2243E">
      <w:pPr>
        <w:pStyle w:val="a5"/>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F2243E">
        <w:rPr>
          <w:rFonts w:ascii="宋体" w:eastAsia="宋体" w:hAnsi="宋体" w:cs="宋体"/>
          <w:kern w:val="0"/>
          <w:sz w:val="24"/>
          <w:szCs w:val="24"/>
        </w:rPr>
        <w:t> </w:t>
      </w:r>
    </w:p>
    <w:p w:rsidR="00F2243E" w:rsidRPr="00F2243E" w:rsidRDefault="00F2243E" w:rsidP="00F2243E">
      <w:pPr>
        <w:widowControl/>
        <w:numPr>
          <w:ilvl w:val="0"/>
          <w:numId w:val="2"/>
        </w:numPr>
        <w:jc w:val="left"/>
        <w:rPr>
          <w:rFonts w:ascii="宋体" w:eastAsia="宋体" w:hAnsi="宋体" w:cs="宋体"/>
          <w:kern w:val="0"/>
          <w:sz w:val="24"/>
          <w:szCs w:val="24"/>
        </w:rPr>
      </w:pPr>
    </w:p>
    <w:p w:rsidR="00F2243E" w:rsidRDefault="00F2243E" w:rsidP="00F2243E">
      <w:pPr>
        <w:widowControl/>
        <w:numPr>
          <w:ilvl w:val="0"/>
          <w:numId w:val="2"/>
        </w:numPr>
        <w:jc w:val="left"/>
        <w:rPr>
          <w:rFonts w:ascii="宋体" w:eastAsia="宋体" w:hAnsi="宋体" w:cs="宋体"/>
          <w:kern w:val="0"/>
          <w:sz w:val="24"/>
          <w:szCs w:val="24"/>
        </w:rPr>
      </w:pPr>
      <w:hyperlink r:id="rId7" w:tooltip="Coupa HIPAA Compliance" w:history="1">
        <w:r w:rsidRPr="00F2243E">
          <w:rPr>
            <w:rFonts w:ascii="宋体" w:eastAsia="宋体" w:hAnsi="宋体" w:cs="宋体"/>
            <w:color w:val="0000FF"/>
            <w:kern w:val="0"/>
            <w:sz w:val="24"/>
            <w:szCs w:val="24"/>
            <w:u w:val="single"/>
          </w:rPr>
          <w:t>Coupa HIPAA 依从性</w:t>
        </w:r>
      </w:hyperlink>
    </w:p>
    <w:p w:rsidR="0042119E" w:rsidRDefault="0042119E" w:rsidP="0042119E">
      <w:pPr>
        <w:pStyle w:val="2"/>
      </w:pPr>
      <w:r>
        <w:t>HIPAA 依从性</w:t>
      </w:r>
    </w:p>
    <w:p w:rsidR="0042119E" w:rsidRDefault="0042119E" w:rsidP="0042119E">
      <w:pPr>
        <w:pStyle w:val="a4"/>
      </w:pPr>
      <w:r>
        <w:t>健康保险可携性和责任法案（HIPAA）规定了保护敏感患者数据的标准。任何处理受保护的健康信息（PHI）的公司都必须确保所有所需的物理、网络和过程安全措施都已到位并得到遵循。</w:t>
      </w:r>
    </w:p>
    <w:p w:rsidR="0042119E" w:rsidRDefault="0042119E" w:rsidP="0042119E">
      <w:pPr>
        <w:pStyle w:val="a4"/>
      </w:pPr>
      <w:r>
        <w:t>这包括</w:t>
      </w:r>
      <w:r>
        <w:rPr>
          <w:rStyle w:val="a6"/>
        </w:rPr>
        <w:t>覆盖实体（CE）</w:t>
      </w:r>
      <w:r>
        <w:t>，任何在医疗服务方面提供治疗、付款及运作的人士，以及</w:t>
      </w:r>
      <w:r>
        <w:rPr>
          <w:rStyle w:val="a6"/>
        </w:rPr>
        <w:t>商业伙伴（BA）</w:t>
      </w:r>
      <w:r>
        <w:t>，并在治疗、付款或手术方面提供支持。分包商，或商业伙伴的商业伙伴，也必须遵守。</w:t>
      </w:r>
    </w:p>
    <w:p w:rsidR="0042119E" w:rsidRDefault="0042119E" w:rsidP="0042119E">
      <w:pPr>
        <w:pStyle w:val="a4"/>
      </w:pPr>
      <w:r>
        <w:t>Coupa 致力于与健康保险公司和护理提供者合作，在不牺牲病人护理结果或病人经验的情况下，提供该领域急需的储蓄。根据 1996 年的健康保险可携性和责任法案（HIPAA），保险公司和提供者必须采取措施保护他们的客户或病人的电子健康保护信息（ePHI）。 Coupa 的医疗云提供了 HIPAA 所需的 ePHI 保护。</w:t>
      </w:r>
    </w:p>
    <w:p w:rsidR="0042119E" w:rsidRDefault="0042119E" w:rsidP="0042119E">
      <w:pPr>
        <w:pStyle w:val="a4"/>
      </w:pPr>
      <w:r>
        <w:t>虽然 Coupa 不提供任何病人记录管理或病人护理服务，但在员工将 ePHI 输入 Coupa 的情况下，客户将受到保护。 Coupa 建议不要将 ePHI（如医疗记录编号（MRN））作为业务流程或集成设计的一部分。 在某些情况下，ePHI可能是在金融交易的上下文中输入的。例如，在费用描述中提交患者姓名的花的费用报告，附上患者姓名或房间号的收据，或在发票上附上化验报告。 Coupa 保护客户免受暴露于 ePHI 的风险。</w:t>
      </w:r>
    </w:p>
    <w:p w:rsidR="0042119E" w:rsidRDefault="0042119E" w:rsidP="0042119E">
      <w:pPr>
        <w:pStyle w:val="a4"/>
      </w:pPr>
      <w:r>
        <w:lastRenderedPageBreak/>
        <w:t>根据 HIPAA，允许服务提供者代表其创建、接收、维护或传输 ePHI 的保险公司和提供者必须与这些提供者签订业务关联协议（BAA）。 BAA 将保护 ePHI 的责任扩大到这些供应商。 Coupa 的医疗云允许 Coupa 与客户建立业务关联关系，确保适当地进入 Coupa 进行开销管理的 ePHI 按照 HIPAA 的规定得到保护。 Coupa 根据 HIPAA 制定的标准采取了一系列措施来保护 ePHI，包括行政保障、实物保障和技术保障。</w:t>
      </w:r>
    </w:p>
    <w:p w:rsidR="0042119E" w:rsidRDefault="0042119E" w:rsidP="0042119E">
      <w:pPr>
        <w:pStyle w:val="a4"/>
      </w:pPr>
      <w:r>
        <w:t>Coupa 与第三方公司完成年度审计。这项年度审计于 10 月进行，包括对行政、物质和技术控制的审查。这项年度认证的副本可从 Coupa 自助网站下载：</w:t>
      </w:r>
      <w:hyperlink r:id="rId8" w:tgtFrame="_blank" w:tooltip="HIPAA Compliance" w:history="1">
        <w:r>
          <w:rPr>
            <w:rStyle w:val="a3"/>
          </w:rPr>
          <w:t>合规报告请求</w:t>
        </w:r>
      </w:hyperlink>
      <w:r>
        <w:t>.</w:t>
      </w:r>
    </w:p>
    <w:p w:rsidR="0042119E" w:rsidRDefault="0042119E" w:rsidP="0042119E">
      <w:pPr>
        <w:pStyle w:val="a4"/>
      </w:pPr>
      <w:r>
        <w:t>有关更多详情，请参阅</w:t>
      </w:r>
      <w:hyperlink r:id="rId9" w:tgtFrame="_blank" w:tooltip="HIPAA Compliance" w:history="1">
        <w:r>
          <w:rPr>
            <w:rStyle w:val="a3"/>
          </w:rPr>
          <w:t>Coupa 医疗云数据表</w:t>
        </w:r>
      </w:hyperlink>
      <w:r>
        <w:t>.</w:t>
      </w:r>
    </w:p>
    <w:p w:rsidR="0042119E" w:rsidRPr="00F2243E" w:rsidRDefault="0042119E" w:rsidP="0042119E">
      <w:pPr>
        <w:widowControl/>
        <w:jc w:val="left"/>
        <w:rPr>
          <w:rFonts w:ascii="宋体" w:eastAsia="宋体" w:hAnsi="宋体" w:cs="宋体" w:hint="eastAsia"/>
          <w:kern w:val="0"/>
          <w:sz w:val="24"/>
          <w:szCs w:val="24"/>
        </w:rPr>
      </w:pPr>
    </w:p>
    <w:p w:rsidR="00F2243E" w:rsidRDefault="00F2243E" w:rsidP="00F2243E">
      <w:pPr>
        <w:widowControl/>
        <w:numPr>
          <w:ilvl w:val="0"/>
          <w:numId w:val="2"/>
        </w:numPr>
        <w:jc w:val="left"/>
        <w:rPr>
          <w:rFonts w:ascii="宋体" w:eastAsia="宋体" w:hAnsi="宋体" w:cs="宋体"/>
          <w:kern w:val="0"/>
          <w:sz w:val="24"/>
          <w:szCs w:val="24"/>
        </w:rPr>
      </w:pPr>
      <w:hyperlink r:id="rId10" w:tooltip="Coupa PCI Cloud Offering" w:history="1">
        <w:r w:rsidRPr="00F2243E">
          <w:rPr>
            <w:rFonts w:ascii="宋体" w:eastAsia="宋体" w:hAnsi="宋体" w:cs="宋体"/>
            <w:color w:val="0000FF"/>
            <w:kern w:val="0"/>
            <w:sz w:val="24"/>
            <w:szCs w:val="24"/>
            <w:u w:val="single"/>
          </w:rPr>
          <w:t>Coupa PCI 云服务</w:t>
        </w:r>
      </w:hyperlink>
    </w:p>
    <w:p w:rsidR="00260D8E" w:rsidRDefault="00260D8E" w:rsidP="00260D8E">
      <w:pPr>
        <w:pStyle w:val="2"/>
      </w:pPr>
      <w:r>
        <w:t>导论</w:t>
      </w:r>
    </w:p>
    <w:p w:rsidR="00260D8E" w:rsidRDefault="00260D8E" w:rsidP="00260D8E">
      <w:pPr>
        <w:pStyle w:val="a4"/>
      </w:pPr>
      <w:r>
        <w:t>Coupa 业务支出管理（BSM）平台是作为业界领先的、基于云的解决方案从头开始交付的。对于那些需要完整的信用卡数据安全保障的 BSM 客户，通过支付卡行业数据安全标准（PCI DSS）认证，Coupa 提供了一个完全兼容的 PCI 云环境来支持这些需求。通过实施和维护 PCI DSS，Coupa 符合业界的最佳实践，以维护托管在平台上的客户信用卡信息的机密性。</w:t>
      </w:r>
    </w:p>
    <w:p w:rsidR="00260D8E" w:rsidRDefault="00260D8E" w:rsidP="00260D8E">
      <w:pPr>
        <w:pStyle w:val="a4"/>
      </w:pPr>
      <w:r>
        <w:t>Coupa 的安全云基础设施已经通过了合格安全评估员（QSA）的认证，获得了 Coupa PCI 认证，并被列入了认证服务提供商的名单。此认证和符合性认证（AOC）是通过 PCI 安全标准的演示实现和操作实现的：</w:t>
      </w:r>
    </w:p>
    <w:p w:rsidR="00260D8E" w:rsidRDefault="00260D8E" w:rsidP="00260D8E">
      <w:pPr>
        <w:widowControl/>
        <w:numPr>
          <w:ilvl w:val="0"/>
          <w:numId w:val="3"/>
        </w:numPr>
        <w:spacing w:before="100" w:beforeAutospacing="1" w:after="100" w:afterAutospacing="1"/>
        <w:jc w:val="left"/>
      </w:pPr>
      <w:r>
        <w:t>建立和维护一个安全的网络</w:t>
      </w:r>
    </w:p>
    <w:p w:rsidR="00260D8E" w:rsidRDefault="00260D8E" w:rsidP="00260D8E">
      <w:pPr>
        <w:widowControl/>
        <w:numPr>
          <w:ilvl w:val="0"/>
          <w:numId w:val="3"/>
        </w:numPr>
        <w:spacing w:before="100" w:beforeAutospacing="1" w:after="100" w:afterAutospacing="1"/>
        <w:jc w:val="left"/>
      </w:pPr>
      <w:r>
        <w:t>保护持卡人数据</w:t>
      </w:r>
    </w:p>
    <w:p w:rsidR="00260D8E" w:rsidRDefault="00260D8E" w:rsidP="00260D8E">
      <w:pPr>
        <w:widowControl/>
        <w:numPr>
          <w:ilvl w:val="0"/>
          <w:numId w:val="3"/>
        </w:numPr>
        <w:spacing w:before="100" w:beforeAutospacing="1" w:after="100" w:afterAutospacing="1"/>
        <w:jc w:val="left"/>
      </w:pPr>
      <w:r>
        <w:t>维护漏洞管理程序</w:t>
      </w:r>
    </w:p>
    <w:p w:rsidR="00260D8E" w:rsidRDefault="00260D8E" w:rsidP="00260D8E">
      <w:pPr>
        <w:widowControl/>
        <w:numPr>
          <w:ilvl w:val="0"/>
          <w:numId w:val="3"/>
        </w:numPr>
        <w:spacing w:before="100" w:beforeAutospacing="1" w:after="100" w:afterAutospacing="1"/>
        <w:jc w:val="left"/>
      </w:pPr>
      <w:r>
        <w:t>实施强有力的访问控制措施</w:t>
      </w:r>
    </w:p>
    <w:p w:rsidR="00260D8E" w:rsidRDefault="00260D8E" w:rsidP="00260D8E">
      <w:pPr>
        <w:widowControl/>
        <w:numPr>
          <w:ilvl w:val="0"/>
          <w:numId w:val="3"/>
        </w:numPr>
        <w:spacing w:before="100" w:beforeAutospacing="1" w:after="100" w:afterAutospacing="1"/>
        <w:jc w:val="left"/>
      </w:pPr>
      <w:r>
        <w:t>定期监测和测试网络</w:t>
      </w:r>
    </w:p>
    <w:p w:rsidR="00260D8E" w:rsidRDefault="00260D8E" w:rsidP="00260D8E">
      <w:pPr>
        <w:widowControl/>
        <w:numPr>
          <w:ilvl w:val="0"/>
          <w:numId w:val="3"/>
        </w:numPr>
        <w:spacing w:before="100" w:beforeAutospacing="1" w:after="100" w:afterAutospacing="1"/>
        <w:jc w:val="left"/>
      </w:pPr>
      <w:r>
        <w:t>维持资讯保安政策</w:t>
      </w:r>
    </w:p>
    <w:p w:rsidR="00260D8E" w:rsidRDefault="00260D8E" w:rsidP="00260D8E">
      <w:pPr>
        <w:pStyle w:val="2"/>
      </w:pPr>
      <w:r>
        <w:t>关键用例</w:t>
      </w:r>
    </w:p>
    <w:p w:rsidR="00260D8E" w:rsidRDefault="00260D8E" w:rsidP="00260D8E">
      <w:pPr>
        <w:pStyle w:val="a4"/>
      </w:pPr>
      <w:r>
        <w:t>Coupa 可以存储和维护支付卡信息的情况，包括 Coupa 采购中的支付卡。 Coupa 还可以集成个人和企业信用卡数据提要，以方便在 Coupa 费用范围内自动创建费用项目。在所有情况下，Coupa以一种安全的方式接收、存储和传输信用卡数据，正如 PCI DSS 所规定的那样。</w:t>
      </w:r>
    </w:p>
    <w:p w:rsidR="00260D8E" w:rsidRDefault="00260D8E" w:rsidP="00260D8E">
      <w:pPr>
        <w:pStyle w:val="2"/>
      </w:pPr>
      <w:r>
        <w:t>Coupa 持卡人数据环境</w:t>
      </w:r>
    </w:p>
    <w:p w:rsidR="00260D8E" w:rsidRDefault="00260D8E" w:rsidP="00260D8E">
      <w:pPr>
        <w:pStyle w:val="a4"/>
      </w:pPr>
      <w:r>
        <w:lastRenderedPageBreak/>
        <w:t>Coupa 持卡人数据环境（CDE）是 Coupa 云基础设施中指定的安全区域，用于接收、存储和传输持卡人数据，以支持上述指定的金融产品工作流。连接到 Coupa CDE 的 Coupa 系统的所有方面都要进行评估，并包括在 PCI 评估中。</w:t>
      </w:r>
    </w:p>
    <w:p w:rsidR="00260D8E" w:rsidRDefault="00260D8E" w:rsidP="00260D8E">
      <w:pPr>
        <w:pStyle w:val="a4"/>
      </w:pPr>
      <w:r>
        <w:t>通过 PCI DSS，Coupa 已经成功地实现了跨所有 Coupa CDE 网络组件（防火墙、交换机、路由器、接入点、网络设备、安全设备等）的 PCI 需求。服务器（web服务器、应用服务器、数据库服务器、身份验证服务器、邮件服务器、代理服务器、网络时间协议、域名服务器等）。作为资格认证的一部分，包括内部和外部应用程序、虚拟组件和可应用的第三方系统。</w:t>
      </w:r>
    </w:p>
    <w:p w:rsidR="00260D8E" w:rsidRDefault="00260D8E" w:rsidP="00260D8E">
      <w:pPr>
        <w:pStyle w:val="a4"/>
      </w:pPr>
      <w:r>
        <w:t>Coupa 的 CDE 位于美国和欧盟地区。</w:t>
      </w:r>
    </w:p>
    <w:p w:rsidR="00260D8E" w:rsidRDefault="00260D8E" w:rsidP="00260D8E">
      <w:pPr>
        <w:pStyle w:val="2"/>
      </w:pPr>
      <w:r>
        <w:t>技术保障</w:t>
      </w:r>
    </w:p>
    <w:p w:rsidR="00260D8E" w:rsidRDefault="00260D8E" w:rsidP="00260D8E">
      <w:pPr>
        <w:pStyle w:val="a4"/>
      </w:pPr>
      <w:r>
        <w:t>为了保护 PCI 云中的持卡人数据，已经采取了更多的技术保护措施。严格的访问控制已到位，以帮助确保只有适当的缔约方才能访问 Coupa 系统。 Coupa 平台可以在传输和静止时保护数据。</w:t>
      </w:r>
    </w:p>
    <w:p w:rsidR="00260D8E" w:rsidRDefault="00260D8E" w:rsidP="00260D8E">
      <w:pPr>
        <w:pStyle w:val="3"/>
      </w:pPr>
      <w:r>
        <w:t>过境数据加密</w:t>
      </w:r>
    </w:p>
    <w:p w:rsidR="00260D8E" w:rsidRDefault="00260D8E" w:rsidP="00260D8E">
      <w:pPr>
        <w:pStyle w:val="a4"/>
      </w:pPr>
      <w:r>
        <w:t>Coupa 对传输中的数据进行加密，以防止其被截获和泄露。 HTTP 数据在通过 web 浏览器、移动应用程序、电子邮件和 API 调用在服务器和最终用户之间传输之前是经过加密的。 CDE 中的服务器之间和存储之间的数据传输也是加密的。文件数据传输使用 SFTP（安全 FTP）和 PGP 文件加密的附加选项。在 PCI 云中使用机会主义 TLS 进行电子邮件通信。作为附加的 PCI 安全措施，TLS 1.0 被禁用。</w:t>
      </w:r>
    </w:p>
    <w:p w:rsidR="00260D8E" w:rsidRDefault="00260D8E" w:rsidP="00260D8E">
      <w:pPr>
        <w:pStyle w:val="3"/>
      </w:pPr>
      <w:r>
        <w:t>静态数据加密</w:t>
      </w:r>
    </w:p>
    <w:p w:rsidR="00260D8E" w:rsidRDefault="00260D8E" w:rsidP="00260D8E">
      <w:pPr>
        <w:pStyle w:val="a4"/>
      </w:pPr>
      <w:r>
        <w:t>一般来说，Coupa使用多种策略来对静态数据进行加密。在保存到数据库之前，输入到由 Coupa 指定的特定标识字段的信用卡数据在应用服务器端被加密。文件附件在保存之前是在应用服务器端加密的，在保存之前是在服务器端加密的。 Coupa 移动应用程序被加密以保护静止的数据。</w:t>
      </w:r>
    </w:p>
    <w:p w:rsidR="00260D8E" w:rsidRDefault="00260D8E" w:rsidP="00260D8E">
      <w:pPr>
        <w:pStyle w:val="3"/>
      </w:pPr>
      <w:r>
        <w:t>强加密</w:t>
      </w:r>
    </w:p>
    <w:p w:rsidR="00260D8E" w:rsidRDefault="00260D8E" w:rsidP="00260D8E">
      <w:pPr>
        <w:pStyle w:val="a4"/>
      </w:pPr>
      <w:r>
        <w:t>Coupa 使用强大的加密方法来确保信用卡数据不受干扰。</w:t>
      </w:r>
    </w:p>
    <w:p w:rsidR="00260D8E" w:rsidRDefault="00260D8E" w:rsidP="00260D8E">
      <w:pPr>
        <w:widowControl/>
        <w:numPr>
          <w:ilvl w:val="0"/>
          <w:numId w:val="4"/>
        </w:numPr>
        <w:spacing w:before="100" w:beforeAutospacing="1" w:after="100" w:afterAutospacing="1"/>
        <w:jc w:val="left"/>
      </w:pPr>
      <w:r>
        <w:rPr>
          <w:rStyle w:val="a6"/>
        </w:rPr>
        <w:t>加密算法：</w:t>
      </w:r>
      <w:r>
        <w:t>Coupa 使用 PGP 加密文件，AES 256 加密应用程序数据。此外，文件也使用 Amazon Web Services（AWS）S3 本地加密进行加密。</w:t>
      </w:r>
    </w:p>
    <w:p w:rsidR="00260D8E" w:rsidRDefault="00260D8E" w:rsidP="00260D8E">
      <w:pPr>
        <w:widowControl/>
        <w:numPr>
          <w:ilvl w:val="0"/>
          <w:numId w:val="4"/>
        </w:numPr>
        <w:spacing w:before="100" w:beforeAutospacing="1" w:after="100" w:afterAutospacing="1"/>
        <w:jc w:val="left"/>
      </w:pPr>
      <w:r>
        <w:rPr>
          <w:rStyle w:val="a6"/>
        </w:rPr>
        <w:lastRenderedPageBreak/>
        <w:t>密钥管理：</w:t>
      </w:r>
      <w:r>
        <w:t>Coupa 使用 AWS 密钥管理服务来管理加密密钥。每个 Coupa 客户都被分配了唯一的加密密钥。</w:t>
      </w:r>
    </w:p>
    <w:p w:rsidR="00260D8E" w:rsidRDefault="00260D8E" w:rsidP="00260D8E">
      <w:pPr>
        <w:pStyle w:val="2"/>
      </w:pPr>
      <w:r>
        <w:t>物理防护</w:t>
      </w:r>
    </w:p>
    <w:p w:rsidR="00260D8E" w:rsidRDefault="00260D8E" w:rsidP="00260D8E">
      <w:pPr>
        <w:pStyle w:val="a4"/>
      </w:pPr>
      <w:r>
        <w:t>Coupa 使用 AWS 基础设施来提供运行我们的金融应用程序所需的计算、网络和存储服务。 AWS 是一个著名的提供者，它为设备安全、访问控制和应急操作提供了适当的控制。此外，Coupa为自己的设备使用安全条款，包括徽章访问控制、工作站安全、备份和工作站重用。</w:t>
      </w:r>
    </w:p>
    <w:p w:rsidR="00260D8E" w:rsidRDefault="00260D8E" w:rsidP="00260D8E">
      <w:pPr>
        <w:pStyle w:val="2"/>
      </w:pPr>
      <w:r>
        <w:t>行政保障措施</w:t>
      </w:r>
    </w:p>
    <w:p w:rsidR="00260D8E" w:rsidRDefault="00260D8E" w:rsidP="00260D8E">
      <w:pPr>
        <w:pStyle w:val="a4"/>
      </w:pPr>
      <w:r>
        <w:t>Coupa 已经实施了业务政策和程序来控制对所有安全系统的访问。 Coupa 的安全和合规副总裁负责制定和实施这些政策和程序。只有在完成信用和犯罪背景调查后，美国人才可以使用 Coupa 系统。终止程序确保访问被适当地终止。安全事故响应和违反通知程序确保任何事故都按法律要求向监督机构、客户和监管机构进行适当的报告。应急计划确保在发生灾难时数据的可获得性。</w:t>
      </w:r>
    </w:p>
    <w:p w:rsidR="00260D8E" w:rsidRDefault="00260D8E" w:rsidP="00260D8E">
      <w:pPr>
        <w:pStyle w:val="2"/>
      </w:pPr>
      <w:r>
        <w:t>PCI 遵从性报告</w:t>
      </w:r>
    </w:p>
    <w:p w:rsidR="00260D8E" w:rsidRDefault="00260D8E" w:rsidP="00260D8E">
      <w:pPr>
        <w:pStyle w:val="a4"/>
      </w:pPr>
      <w:r>
        <w:t>一份最新的报告</w:t>
      </w:r>
      <w:r>
        <w:rPr>
          <w:rStyle w:val="a7"/>
        </w:rPr>
        <w:t>PCI 依从性认证</w:t>
      </w:r>
      <w:r>
        <w:t>可从</w:t>
      </w:r>
      <w:hyperlink r:id="rId11" w:tgtFrame="_blank" w:tooltip="https://get.coupa.com/Compliance-Reports_Request-Report.html" w:history="1">
        <w:r>
          <w:rPr>
            <w:rStyle w:val="a3"/>
          </w:rPr>
          <w:t>符合性报告请求门户</w:t>
        </w:r>
      </w:hyperlink>
      <w:r>
        <w:t>.</w:t>
      </w:r>
    </w:p>
    <w:p w:rsidR="00260D8E" w:rsidRPr="00F2243E" w:rsidRDefault="00260D8E" w:rsidP="00260D8E">
      <w:pPr>
        <w:widowControl/>
        <w:jc w:val="left"/>
        <w:rPr>
          <w:rFonts w:ascii="宋体" w:eastAsia="宋体" w:hAnsi="宋体" w:cs="宋体"/>
          <w:kern w:val="0"/>
          <w:sz w:val="24"/>
          <w:szCs w:val="24"/>
        </w:rPr>
      </w:pPr>
    </w:p>
    <w:p w:rsidR="00F2243E" w:rsidRDefault="00F2243E" w:rsidP="00F2243E">
      <w:pPr>
        <w:widowControl/>
        <w:numPr>
          <w:ilvl w:val="0"/>
          <w:numId w:val="2"/>
        </w:numPr>
        <w:jc w:val="left"/>
        <w:rPr>
          <w:rFonts w:ascii="宋体" w:eastAsia="宋体" w:hAnsi="宋体" w:cs="宋体"/>
          <w:kern w:val="0"/>
          <w:sz w:val="24"/>
          <w:szCs w:val="24"/>
        </w:rPr>
      </w:pPr>
      <w:hyperlink r:id="rId12" w:tooltip="Coupa Type II SOC 1 Compliance Report" w:history="1">
        <w:r w:rsidRPr="00F2243E">
          <w:rPr>
            <w:rFonts w:ascii="宋体" w:eastAsia="宋体" w:hAnsi="宋体" w:cs="宋体"/>
            <w:color w:val="0000FF"/>
            <w:kern w:val="0"/>
            <w:sz w:val="24"/>
            <w:szCs w:val="24"/>
            <w:u w:val="single"/>
          </w:rPr>
          <w:t>Coupa II 型 SOC 1 符合性报告</w:t>
        </w:r>
      </w:hyperlink>
    </w:p>
    <w:p w:rsidR="00260D8E" w:rsidRDefault="00260D8E" w:rsidP="00260D8E">
      <w:pPr>
        <w:widowControl/>
        <w:jc w:val="left"/>
        <w:rPr>
          <w:rFonts w:ascii="宋体" w:eastAsia="宋体" w:hAnsi="宋体" w:cs="宋体"/>
          <w:kern w:val="0"/>
          <w:sz w:val="24"/>
          <w:szCs w:val="24"/>
        </w:rPr>
      </w:pPr>
    </w:p>
    <w:p w:rsidR="00260D8E" w:rsidRDefault="00260D8E" w:rsidP="00260D8E">
      <w:pPr>
        <w:pStyle w:val="1"/>
      </w:pPr>
      <w:r>
        <w:t>Coupa II 型 SOC 1 符合性报告</w:t>
      </w:r>
    </w:p>
    <w:p w:rsidR="00260D8E" w:rsidRDefault="00260D8E" w:rsidP="00260D8E">
      <w:pPr>
        <w:widowControl/>
        <w:numPr>
          <w:ilvl w:val="0"/>
          <w:numId w:val="5"/>
        </w:numPr>
        <w:jc w:val="left"/>
      </w:pPr>
      <w:r>
        <w:t>最后更新</w:t>
      </w:r>
    </w:p>
    <w:p w:rsidR="00260D8E" w:rsidRDefault="00260D8E" w:rsidP="00260D8E">
      <w:pPr>
        <w:ind w:left="720"/>
      </w:pPr>
      <w:r>
        <w:rPr>
          <w:rStyle w:val="mt-last-updated"/>
        </w:rPr>
        <w:t>2019 年 12 月 11 日</w:t>
      </w:r>
      <w:r>
        <w:t xml:space="preserve"> </w:t>
      </w:r>
    </w:p>
    <w:p w:rsidR="00260D8E" w:rsidRDefault="00260D8E" w:rsidP="00260D8E">
      <w:pPr>
        <w:widowControl/>
        <w:numPr>
          <w:ilvl w:val="0"/>
          <w:numId w:val="5"/>
        </w:numPr>
        <w:spacing w:before="100" w:beforeAutospacing="1" w:after="100" w:afterAutospacing="1"/>
        <w:jc w:val="left"/>
      </w:pPr>
      <w:hyperlink r:id="rId13" w:tgtFrame="_blank" w:tooltip="Export page as a PDF" w:history="1">
        <w:r>
          <w:rPr>
            <w:rStyle w:val="a3"/>
          </w:rPr>
          <w:t>另存为 PDF</w:t>
        </w:r>
      </w:hyperlink>
    </w:p>
    <w:p w:rsidR="00260D8E" w:rsidRDefault="00260D8E" w:rsidP="00260D8E">
      <w:pPr>
        <w:widowControl/>
        <w:numPr>
          <w:ilvl w:val="0"/>
          <w:numId w:val="5"/>
        </w:numPr>
        <w:spacing w:before="100" w:beforeAutospacing="1" w:after="100" w:afterAutospacing="1"/>
        <w:jc w:val="left"/>
      </w:pPr>
    </w:p>
    <w:p w:rsidR="00260D8E" w:rsidRDefault="00260D8E" w:rsidP="00260D8E">
      <w:pPr>
        <w:pStyle w:val="3"/>
      </w:pPr>
      <w:r>
        <w:lastRenderedPageBreak/>
        <w:t>Coupa 每年完成一次 II 类 SOC1 审计。</w:t>
      </w:r>
    </w:p>
    <w:p w:rsidR="00260D8E" w:rsidRDefault="00260D8E" w:rsidP="00260D8E">
      <w:pPr>
        <w:pStyle w:val="4"/>
      </w:pPr>
      <w:r>
        <w:t>SOC1 报告：它是什么 ？</w:t>
      </w:r>
    </w:p>
    <w:p w:rsidR="00260D8E" w:rsidRDefault="00260D8E" w:rsidP="00260D8E">
      <w:pPr>
        <w:pStyle w:val="a4"/>
      </w:pPr>
      <w:r>
        <w:t>与用户实体的财务报告的内部控制相关的服务组织的控制报告：SOC1活动在 SSAE 18 下执行，报告服务组织的控制。 SOC1 报告是由服务审计员进行的审查活动，报告在一个向用户实体提供服务的组织的控制，当这些控制可能与用户实体的财务报告的内部控制相关时。</w:t>
      </w:r>
    </w:p>
    <w:p w:rsidR="00260D8E" w:rsidRDefault="00260D8E" w:rsidP="00260D8E">
      <w:pPr>
        <w:pStyle w:val="a4"/>
      </w:pPr>
      <w:r>
        <w:t>SOC1 报告有两种类型：</w:t>
      </w:r>
    </w:p>
    <w:p w:rsidR="00260D8E" w:rsidRDefault="00260D8E" w:rsidP="00260D8E">
      <w:pPr>
        <w:widowControl/>
        <w:numPr>
          <w:ilvl w:val="0"/>
          <w:numId w:val="6"/>
        </w:numPr>
        <w:spacing w:before="100" w:beforeAutospacing="1" w:after="100" w:afterAutospacing="1"/>
        <w:jc w:val="left"/>
      </w:pPr>
      <w:r>
        <w:rPr>
          <w:rStyle w:val="a6"/>
        </w:rPr>
        <w:t>第 1 型</w:t>
      </w:r>
      <w:r>
        <w:t>— —一份关于管理部门对服务组织系统的描述和设计控制的适宜性的报告，以便在指定日期实现描述中包含的相关控制目标。</w:t>
      </w:r>
    </w:p>
    <w:p w:rsidR="00260D8E" w:rsidRDefault="00260D8E" w:rsidP="00260D8E">
      <w:pPr>
        <w:widowControl/>
        <w:numPr>
          <w:ilvl w:val="0"/>
          <w:numId w:val="6"/>
        </w:numPr>
        <w:spacing w:before="100" w:beforeAutospacing="1" w:after="100" w:afterAutospacing="1"/>
        <w:jc w:val="left"/>
      </w:pPr>
      <w:r>
        <w:rPr>
          <w:rStyle w:val="a6"/>
        </w:rPr>
        <w:t>2 型</w:t>
      </w:r>
      <w:r>
        <w:t>— —一份关于管理当局对服务组织系统的描述，以及控制的设计和操作有效性是否适当的报告，以实现在指定期间内包括在描述中的相关控制目标。</w:t>
      </w:r>
    </w:p>
    <w:p w:rsidR="00260D8E" w:rsidRDefault="00260D8E" w:rsidP="00260D8E">
      <w:pPr>
        <w:pStyle w:val="a4"/>
      </w:pPr>
      <w:r>
        <w:t>SOC1 审计每两年进行一次，我们的报告期是 11 月 1 日</w:t>
      </w:r>
      <w:r>
        <w:rPr>
          <w:vertAlign w:val="superscript"/>
        </w:rPr>
        <w:t>圣特</w:t>
      </w:r>
      <w:r>
        <w:t>到 4 月 30 日</w:t>
      </w:r>
      <w:r>
        <w:rPr>
          <w:vertAlign w:val="superscript"/>
        </w:rPr>
        <w:t>经纬仪</w:t>
      </w:r>
      <w:r>
        <w:t>5 月 1 日</w:t>
      </w:r>
      <w:r>
        <w:rPr>
          <w:vertAlign w:val="superscript"/>
        </w:rPr>
        <w:t>圣特</w:t>
      </w:r>
      <w:r>
        <w:t>到 10 月 31 日</w:t>
      </w:r>
      <w:r>
        <w:rPr>
          <w:vertAlign w:val="superscript"/>
        </w:rPr>
        <w:t>圣特</w:t>
      </w:r>
      <w:r>
        <w:t>.在报告期间之后，外聘审计员进行审计，并在每个报告期间之后的 6 月和 12 月印发报告。</w:t>
      </w:r>
    </w:p>
    <w:p w:rsidR="00260D8E" w:rsidRDefault="00260D8E" w:rsidP="00260D8E">
      <w:pPr>
        <w:pStyle w:val="a4"/>
      </w:pPr>
      <w:r>
        <w:t>桥梁（差距）的信件，以确定任何变化/差距，因为最后一次审计是每月发出的，在每个月初。</w:t>
      </w:r>
    </w:p>
    <w:p w:rsidR="00260D8E" w:rsidRDefault="00260D8E" w:rsidP="00260D8E">
      <w:pPr>
        <w:pStyle w:val="a4"/>
      </w:pPr>
      <w:r>
        <w:t>如果您希望获得当前 Coupa Type II SOC 1 报告或 SOC Gap 信件的副本，可以从</w:t>
      </w:r>
      <w:hyperlink r:id="rId14" w:tgtFrame="_blank" w:tooltip="https://get.coupa.com/Compliance-Reports_Request-Report.html" w:history="1">
        <w:r>
          <w:rPr>
            <w:rStyle w:val="a3"/>
          </w:rPr>
          <w:t>符合性报告请求门户</w:t>
        </w:r>
      </w:hyperlink>
      <w:r>
        <w:t>.</w:t>
      </w:r>
    </w:p>
    <w:p w:rsidR="00260D8E" w:rsidRPr="00F2243E" w:rsidRDefault="00260D8E" w:rsidP="00260D8E">
      <w:pPr>
        <w:widowControl/>
        <w:jc w:val="left"/>
        <w:rPr>
          <w:rFonts w:ascii="宋体" w:eastAsia="宋体" w:hAnsi="宋体" w:cs="宋体"/>
          <w:kern w:val="0"/>
          <w:sz w:val="24"/>
          <w:szCs w:val="24"/>
        </w:rPr>
      </w:pPr>
    </w:p>
    <w:p w:rsidR="00F2243E" w:rsidRDefault="00F2243E" w:rsidP="00F2243E">
      <w:pPr>
        <w:widowControl/>
        <w:numPr>
          <w:ilvl w:val="0"/>
          <w:numId w:val="2"/>
        </w:numPr>
        <w:jc w:val="left"/>
        <w:rPr>
          <w:rFonts w:ascii="宋体" w:eastAsia="宋体" w:hAnsi="宋体" w:cs="宋体"/>
          <w:kern w:val="0"/>
          <w:sz w:val="24"/>
          <w:szCs w:val="24"/>
        </w:rPr>
      </w:pPr>
      <w:hyperlink r:id="rId15" w:tooltip="Coupa Type II SOC 2 Compliance Report" w:history="1">
        <w:r w:rsidRPr="00F2243E">
          <w:rPr>
            <w:rFonts w:ascii="宋体" w:eastAsia="宋体" w:hAnsi="宋体" w:cs="宋体"/>
            <w:color w:val="0000FF"/>
            <w:kern w:val="0"/>
            <w:sz w:val="24"/>
            <w:szCs w:val="24"/>
            <w:u w:val="single"/>
          </w:rPr>
          <w:t>Coupa II 型 SOC 2 符合性报告</w:t>
        </w:r>
      </w:hyperlink>
    </w:p>
    <w:p w:rsidR="00260D8E" w:rsidRDefault="00260D8E" w:rsidP="00260D8E">
      <w:pPr>
        <w:widowControl/>
        <w:jc w:val="left"/>
        <w:rPr>
          <w:rFonts w:ascii="宋体" w:eastAsia="宋体" w:hAnsi="宋体" w:cs="宋体"/>
          <w:kern w:val="0"/>
          <w:sz w:val="24"/>
          <w:szCs w:val="24"/>
        </w:rPr>
      </w:pPr>
    </w:p>
    <w:p w:rsidR="00260D8E" w:rsidRDefault="00260D8E" w:rsidP="00260D8E">
      <w:pPr>
        <w:pStyle w:val="3"/>
      </w:pPr>
      <w:r>
        <w:t>Coupa 在 2015 年成功完成了其首款用于安全和保密的 II 型 SOC2 审计。</w:t>
      </w:r>
    </w:p>
    <w:p w:rsidR="00260D8E" w:rsidRDefault="00260D8E" w:rsidP="00260D8E">
      <w:pPr>
        <w:pStyle w:val="4"/>
      </w:pPr>
      <w:r>
        <w:t>SOC2 报告：它是什么 ？</w:t>
      </w:r>
    </w:p>
    <w:p w:rsidR="00260D8E" w:rsidRDefault="00260D8E" w:rsidP="00260D8E">
      <w:pPr>
        <w:pStyle w:val="a4"/>
      </w:pPr>
      <w:r>
        <w:t>与安全、可用性、处理完整性、机密性和隐私相关的服务组织的控制报告：许多实体将任务或整个功能外包给服务组织，这些服务组织为用户实体操作、收集、处理、传输、存储、组织、维护和处理信息。 SOC2 协议在信托服务原则、标准和说明中使用预定义的标准，以及 at101 部分 “认证协议”（AICPA，专业标准，卷）中的要求和指导。 1）. SOC2 报告类似于 SOC1 报</w:t>
      </w:r>
      <w:r>
        <w:lastRenderedPageBreak/>
        <w:t>告。可以发布类型 1 或类型 2 的报告，该报告提供了对服务组织系统的描述。</w:t>
      </w:r>
    </w:p>
    <w:p w:rsidR="00260D8E" w:rsidRDefault="00260D8E" w:rsidP="00260D8E">
      <w:pPr>
        <w:pStyle w:val="a4"/>
      </w:pPr>
      <w:r>
        <w:t>对于类型 2 的报告，它还包括对服务审计人员执行的测试和这些测试的结果的描述。 SOC2 报告专门针对以下五个关键系统属性中的一个或多个：</w:t>
      </w:r>
    </w:p>
    <w:p w:rsidR="00260D8E" w:rsidRDefault="00260D8E" w:rsidP="00260D8E">
      <w:pPr>
        <w:widowControl/>
        <w:numPr>
          <w:ilvl w:val="0"/>
          <w:numId w:val="7"/>
        </w:numPr>
        <w:spacing w:before="100" w:beforeAutospacing="1" w:after="100" w:afterAutospacing="1"/>
        <w:jc w:val="left"/>
      </w:pPr>
      <w:r>
        <w:t>安全 — —系统不受未经授权的访问（包括物理访问和逻辑访问）的保护。</w:t>
      </w:r>
    </w:p>
    <w:p w:rsidR="00260D8E" w:rsidRDefault="00260D8E" w:rsidP="00260D8E">
      <w:pPr>
        <w:widowControl/>
        <w:numPr>
          <w:ilvl w:val="0"/>
          <w:numId w:val="7"/>
        </w:numPr>
        <w:spacing w:before="100" w:beforeAutospacing="1" w:after="100" w:afterAutospacing="1"/>
        <w:jc w:val="left"/>
      </w:pPr>
      <w:r>
        <w:t>保密 — —被指定为机密的信息受到承诺或同意的保护。</w:t>
      </w:r>
    </w:p>
    <w:p w:rsidR="00260D8E" w:rsidRDefault="00260D8E" w:rsidP="00260D8E">
      <w:pPr>
        <w:widowControl/>
        <w:numPr>
          <w:ilvl w:val="0"/>
          <w:numId w:val="7"/>
        </w:numPr>
        <w:spacing w:before="100" w:beforeAutospacing="1" w:after="100" w:afterAutospacing="1"/>
        <w:jc w:val="left"/>
      </w:pPr>
      <w:r>
        <w:t>没有测试隐私、可用性和流程完整性。</w:t>
      </w:r>
    </w:p>
    <w:p w:rsidR="00260D8E" w:rsidRDefault="00260D8E" w:rsidP="00260D8E">
      <w:pPr>
        <w:widowControl/>
        <w:numPr>
          <w:ilvl w:val="0"/>
          <w:numId w:val="7"/>
        </w:numPr>
        <w:spacing w:before="100" w:beforeAutospacing="1" w:after="100" w:afterAutospacing="1"/>
        <w:jc w:val="left"/>
      </w:pPr>
      <w:r>
        <w:t>隐私 — —个人信息的收集、使用、保留、披露和处理符合实体隐私声明中的承诺，也符合美国会计师公会（AICPA）和加拿大特许会计师协会（Canadian Institute of Chartered Accountants）发布的《普遍接受的隐私原则》（GAPP）中的标准。</w:t>
      </w:r>
    </w:p>
    <w:p w:rsidR="00260D8E" w:rsidRDefault="00260D8E" w:rsidP="00260D8E">
      <w:pPr>
        <w:widowControl/>
        <w:numPr>
          <w:ilvl w:val="0"/>
          <w:numId w:val="7"/>
        </w:numPr>
        <w:spacing w:before="100" w:beforeAutospacing="1" w:after="100" w:afterAutospacing="1"/>
        <w:jc w:val="left"/>
      </w:pPr>
      <w:r>
        <w:t>可用性 — —系统可按承诺或约定进行操作和使用。</w:t>
      </w:r>
    </w:p>
    <w:p w:rsidR="00260D8E" w:rsidRDefault="00260D8E" w:rsidP="00260D8E">
      <w:pPr>
        <w:widowControl/>
        <w:numPr>
          <w:ilvl w:val="0"/>
          <w:numId w:val="7"/>
        </w:numPr>
        <w:spacing w:before="100" w:beforeAutospacing="1" w:after="100" w:afterAutospacing="1"/>
        <w:jc w:val="left"/>
      </w:pPr>
      <w:r>
        <w:t>处理完整性 - 系统处理是完整的，准确的，及时的和授权的。</w:t>
      </w:r>
    </w:p>
    <w:p w:rsidR="00260D8E" w:rsidRDefault="00260D8E" w:rsidP="00260D8E">
      <w:pPr>
        <w:pStyle w:val="a4"/>
      </w:pPr>
      <w:r>
        <w:t>Coupa II 型 SOC2 审计每年进行一次，报告期为 11 月 1 日至 10 月 31 日。报告期间结束后，外聘审计员进行审计，并编制 12 月印发的报告。</w:t>
      </w:r>
    </w:p>
    <w:p w:rsidR="00260D8E" w:rsidRDefault="00260D8E" w:rsidP="00260D8E">
      <w:pPr>
        <w:pStyle w:val="a4"/>
      </w:pPr>
      <w:r>
        <w:t>现有的 Coupa II 型 SOC 2 报告和其他 Coupa 遵从性报告可从</w:t>
      </w:r>
      <w:hyperlink r:id="rId16" w:tgtFrame="_blank" w:tooltip="https://get.coupa.com/Compliance-Reports_Request-Report.html" w:history="1">
        <w:r>
          <w:rPr>
            <w:rStyle w:val="a3"/>
          </w:rPr>
          <w:t>符合性报告请求门户</w:t>
        </w:r>
      </w:hyperlink>
      <w:r>
        <w:t>.</w:t>
      </w:r>
    </w:p>
    <w:p w:rsidR="00260D8E" w:rsidRPr="00F2243E" w:rsidRDefault="00260D8E" w:rsidP="00260D8E">
      <w:pPr>
        <w:widowControl/>
        <w:jc w:val="left"/>
        <w:rPr>
          <w:rFonts w:ascii="宋体" w:eastAsia="宋体" w:hAnsi="宋体" w:cs="宋体"/>
          <w:kern w:val="0"/>
          <w:sz w:val="24"/>
          <w:szCs w:val="24"/>
        </w:rPr>
      </w:pPr>
    </w:p>
    <w:p w:rsidR="00F2243E" w:rsidRPr="00F2243E" w:rsidRDefault="00F2243E" w:rsidP="00F2243E">
      <w:pPr>
        <w:widowControl/>
        <w:numPr>
          <w:ilvl w:val="0"/>
          <w:numId w:val="2"/>
        </w:numPr>
        <w:jc w:val="left"/>
        <w:rPr>
          <w:rFonts w:ascii="宋体" w:eastAsia="宋体" w:hAnsi="宋体" w:cs="宋体"/>
          <w:kern w:val="0"/>
          <w:sz w:val="24"/>
          <w:szCs w:val="24"/>
        </w:rPr>
      </w:pPr>
      <w:hyperlink r:id="rId17" w:tooltip="ISO 27001 Certification" w:history="1">
        <w:r w:rsidRPr="00F2243E">
          <w:rPr>
            <w:rFonts w:ascii="宋体" w:eastAsia="宋体" w:hAnsi="宋体" w:cs="宋体"/>
            <w:color w:val="0000FF"/>
            <w:kern w:val="0"/>
            <w:sz w:val="24"/>
            <w:szCs w:val="24"/>
            <w:u w:val="single"/>
          </w:rPr>
          <w:t>ISO 27001 认证</w:t>
        </w:r>
      </w:hyperlink>
    </w:p>
    <w:p w:rsidR="00260D8E" w:rsidRDefault="00260D8E" w:rsidP="00260D8E">
      <w:pPr>
        <w:pStyle w:val="1"/>
      </w:pPr>
      <w:r>
        <w:t>ISO 27001 认证</w:t>
      </w:r>
      <w:bookmarkStart w:id="0" w:name="_GoBack"/>
      <w:bookmarkEnd w:id="0"/>
    </w:p>
    <w:p w:rsidR="00260D8E" w:rsidRDefault="00260D8E" w:rsidP="00260D8E">
      <w:pPr>
        <w:widowControl/>
        <w:numPr>
          <w:ilvl w:val="0"/>
          <w:numId w:val="8"/>
        </w:numPr>
        <w:jc w:val="left"/>
      </w:pPr>
      <w:r>
        <w:t>最后更新</w:t>
      </w:r>
    </w:p>
    <w:p w:rsidR="00260D8E" w:rsidRDefault="00260D8E" w:rsidP="00260D8E">
      <w:pPr>
        <w:ind w:left="720"/>
      </w:pPr>
      <w:r>
        <w:rPr>
          <w:rStyle w:val="mt-last-updated"/>
        </w:rPr>
        <w:t>2019 年 12 月 14 日</w:t>
      </w:r>
      <w:r>
        <w:t xml:space="preserve"> </w:t>
      </w:r>
    </w:p>
    <w:p w:rsidR="00260D8E" w:rsidRDefault="00260D8E" w:rsidP="00260D8E">
      <w:pPr>
        <w:widowControl/>
        <w:numPr>
          <w:ilvl w:val="0"/>
          <w:numId w:val="8"/>
        </w:numPr>
        <w:spacing w:before="100" w:beforeAutospacing="1" w:after="100" w:afterAutospacing="1"/>
        <w:jc w:val="left"/>
      </w:pPr>
      <w:hyperlink r:id="rId18" w:tgtFrame="_blank" w:tooltip="Export page as a PDF" w:history="1">
        <w:r>
          <w:rPr>
            <w:rStyle w:val="a3"/>
          </w:rPr>
          <w:t>另存为 PDF</w:t>
        </w:r>
      </w:hyperlink>
    </w:p>
    <w:p w:rsidR="00260D8E" w:rsidRDefault="00260D8E" w:rsidP="00260D8E">
      <w:pPr>
        <w:widowControl/>
        <w:numPr>
          <w:ilvl w:val="0"/>
          <w:numId w:val="8"/>
        </w:numPr>
        <w:spacing w:before="100" w:beforeAutospacing="1" w:after="100" w:afterAutospacing="1"/>
        <w:jc w:val="left"/>
      </w:pPr>
    </w:p>
    <w:p w:rsidR="00260D8E" w:rsidRDefault="00260D8E" w:rsidP="00260D8E">
      <w:pPr>
        <w:pStyle w:val="2"/>
      </w:pPr>
      <w:r>
        <w:t>Coupa ISO 27001 认证</w:t>
      </w:r>
    </w:p>
    <w:p w:rsidR="00260D8E" w:rsidRDefault="00260D8E" w:rsidP="00260D8E">
      <w:pPr>
        <w:pStyle w:val="a4"/>
      </w:pPr>
      <w:r>
        <w:t>ISO 27001 是全球公认的建立和认证信息安全管理体系（ISS）的标准。该标准规定了在组织整体业务风险范围内建立、实施、操作、监视、审查、维护和改进文件化 ISM 的要求。它提出了一种基于风险的方法，其重点是适当和适当的安全控制，以保护信息资产并使有关方面有信心。</w:t>
      </w:r>
    </w:p>
    <w:p w:rsidR="00260D8E" w:rsidRDefault="00260D8E" w:rsidP="00260D8E">
      <w:pPr>
        <w:pStyle w:val="a4"/>
      </w:pPr>
      <w:r>
        <w:t>认证由</w:t>
      </w:r>
      <w:hyperlink r:id="rId19" w:tgtFrame="_blank" w:history="1">
        <w:r>
          <w:rPr>
            <w:rStyle w:val="a3"/>
          </w:rPr>
          <w:t>舍尔曼</w:t>
        </w:r>
      </w:hyperlink>
      <w:r>
        <w:t>美国 ANAB 和 UKAS 认证机构。</w:t>
      </w:r>
    </w:p>
    <w:p w:rsidR="00260D8E" w:rsidRDefault="00260D8E" w:rsidP="00260D8E">
      <w:pPr>
        <w:pStyle w:val="a4"/>
      </w:pPr>
      <w:r>
        <w:lastRenderedPageBreak/>
        <w:t>Schellman 认证的 Coupa 符合所有 ISO/IEC 27001:2013 认证要求 — —来自</w:t>
      </w:r>
      <w:hyperlink r:id="rId20" w:tgtFrame="_blank" w:history="1">
        <w:r>
          <w:rPr>
            <w:rStyle w:val="a3"/>
          </w:rPr>
          <w:t>国际标准化组织</w:t>
        </w:r>
      </w:hyperlink>
      <w:r>
        <w:t>（iso）及</w:t>
      </w:r>
      <w:hyperlink r:id="rId21" w:tgtFrame="_blank" w:history="1">
        <w:r>
          <w:rPr>
            <w:rStyle w:val="a3"/>
          </w:rPr>
          <w:t>国际电工技术委员会</w:t>
        </w:r>
      </w:hyperlink>
      <w:r>
        <w:t>.ISO 27001 是全球公认的信息安全管理体系（ISS）的建立、维护和认证标准。有关 Coupa 的 ISO 27001 ISS 认证的详情，可在</w:t>
      </w:r>
      <w:hyperlink r:id="rId22" w:tgtFrame="_blank" w:history="1">
        <w:r>
          <w:rPr>
            <w:rStyle w:val="a3"/>
          </w:rPr>
          <w:t>谢尔曼证书目录</w:t>
        </w:r>
      </w:hyperlink>
      <w:r>
        <w:t>或者您可以从 Coupa 自助服务链接中获取副本：</w:t>
      </w:r>
      <w:hyperlink r:id="rId23" w:tgtFrame="_blank" w:tooltip="Coupa Achieves ISO 27001 Certification" w:history="1">
        <w:r>
          <w:rPr>
            <w:rStyle w:val="a3"/>
          </w:rPr>
          <w:t>合规报告请求</w:t>
        </w:r>
      </w:hyperlink>
      <w:r>
        <w:t>.</w:t>
      </w:r>
    </w:p>
    <w:p w:rsidR="00260D8E" w:rsidRDefault="00260D8E" w:rsidP="00260D8E">
      <w:pPr>
        <w:pStyle w:val="a4"/>
      </w:pPr>
      <w:r>
        <w:t>“Coupa致力于通过第三方审计和认证（如 SSAE 16 和 ISO 27001）为我们的安全控制和实践提供独立的保证，” Coupa 安全和合规副总裁 Phil Cox 说。 “获得 ISO 27001 认证是一个巨大的成就，因为我们继续向我们的客户提供我们的安全控制和实践遵循国际公认的安全标准的信心。”</w:t>
      </w:r>
    </w:p>
    <w:p w:rsidR="00260D8E" w:rsidRDefault="00260D8E" w:rsidP="00260D8E">
      <w:pPr>
        <w:pStyle w:val="a4"/>
      </w:pPr>
      <w:r>
        <w:t>ISO 27001 标准规定了在组织整体业务风险范围内建立、实施、操作、监视、审查、维护和改进文件化 ISM 的要求。它提出了一种基于风险的方法，其重点是适当和适当的安全控制，以保护信息资产并使有关方面有信心。</w:t>
      </w:r>
      <w:r>
        <w:br/>
      </w:r>
      <w:r>
        <w:br/>
        <w:t>Schellman &amp; Company, LLC（Schellman）是一家领先的认证和合规服务提供商。 Schellman 是世界上唯一一家注册会计师事务所、全球授权的 PCI 安全评估员、ISO认证机构、HITRUST CSF 评估员和 FedRAMP 3 PAO 的公司。谢尔曼的专业人员以丰富的实践经验著称，他们为客户提供优质的服务，并以坚定的独立性来平衡。 Schellman 方法建立了成功的、长期的关系，并允许其客户通过一个第三方评估员实现多个遵从性目标。</w:t>
      </w:r>
    </w:p>
    <w:p w:rsidR="00260D8E" w:rsidRDefault="00260D8E" w:rsidP="00260D8E">
      <w:pPr>
        <w:pStyle w:val="a4"/>
      </w:pPr>
      <w:r>
        <w:t>Coupa 诞生于云端，它提供了一个现代化的消费管理平台，通过统一员工所有消费方式的流程，加快了业务的发展。这些过程包括旅行和费用管理，采购，发票和相关的来源到结算领域。通过使用 Coupa Open business Network，该平台已经连接了 200 多万个供应商，并为致力于控制支出的企业提供了一个强大的解决方案。</w:t>
      </w:r>
    </w:p>
    <w:p w:rsidR="00260D8E" w:rsidRDefault="00260D8E" w:rsidP="00260D8E">
      <w:pPr>
        <w:pStyle w:val="a4"/>
      </w:pPr>
      <w:r>
        <w:t>Coupa ISO 27001</w:t>
      </w:r>
      <w:r>
        <w:rPr>
          <w:rStyle w:val="a7"/>
        </w:rPr>
        <w:t>监视报告</w:t>
      </w:r>
      <w:r>
        <w:t>和</w:t>
      </w:r>
      <w:r>
        <w:rPr>
          <w:rStyle w:val="a7"/>
        </w:rPr>
        <w:t>注册证明书</w:t>
      </w:r>
      <w:r>
        <w:t>可从</w:t>
      </w:r>
      <w:hyperlink r:id="rId24" w:tgtFrame="_blank" w:tooltip="https://get.coupa.com/Compliance-Reports_Request-Report.html" w:history="1">
        <w:r>
          <w:rPr>
            <w:rStyle w:val="a3"/>
          </w:rPr>
          <w:t>符合性报告请求门户</w:t>
        </w:r>
      </w:hyperlink>
      <w:r>
        <w:t>.</w:t>
      </w:r>
    </w:p>
    <w:p w:rsidR="00AF1883" w:rsidRDefault="00AF1883"/>
    <w:sectPr w:rsidR="00AF1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058F"/>
    <w:multiLevelType w:val="multilevel"/>
    <w:tmpl w:val="D6C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74AC6"/>
    <w:multiLevelType w:val="multilevel"/>
    <w:tmpl w:val="BC9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34C06"/>
    <w:multiLevelType w:val="multilevel"/>
    <w:tmpl w:val="687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61A55"/>
    <w:multiLevelType w:val="multilevel"/>
    <w:tmpl w:val="C1E8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A3231"/>
    <w:multiLevelType w:val="multilevel"/>
    <w:tmpl w:val="9D6C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F50B9"/>
    <w:multiLevelType w:val="multilevel"/>
    <w:tmpl w:val="003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F6DBC"/>
    <w:multiLevelType w:val="multilevel"/>
    <w:tmpl w:val="18D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F4FC6"/>
    <w:multiLevelType w:val="multilevel"/>
    <w:tmpl w:val="2B7C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startOverride w:val="3"/>
    </w:lvlOverride>
  </w:num>
  <w:num w:numId="2">
    <w:abstractNumId w:val="2"/>
  </w:num>
  <w:num w:numId="3">
    <w:abstractNumId w:val="1"/>
  </w:num>
  <w:num w:numId="4">
    <w:abstractNumId w:val="0"/>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2B"/>
    <w:rsid w:val="00260D8E"/>
    <w:rsid w:val="0042119E"/>
    <w:rsid w:val="004A4F2B"/>
    <w:rsid w:val="00AF1883"/>
    <w:rsid w:val="00CA247F"/>
    <w:rsid w:val="00F22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3C95"/>
  <w15:chartTrackingRefBased/>
  <w15:docId w15:val="{2BE94A5C-0F84-47B5-98E8-04EAFD59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0D8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224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60D8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0D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43E"/>
    <w:rPr>
      <w:color w:val="0000FF"/>
      <w:u w:val="single"/>
    </w:rPr>
  </w:style>
  <w:style w:type="character" w:customStyle="1" w:styleId="20">
    <w:name w:val="标题 2 字符"/>
    <w:basedOn w:val="a0"/>
    <w:link w:val="2"/>
    <w:uiPriority w:val="9"/>
    <w:rsid w:val="00F2243E"/>
    <w:rPr>
      <w:rFonts w:ascii="宋体" w:eastAsia="宋体" w:hAnsi="宋体" w:cs="宋体"/>
      <w:b/>
      <w:bCs/>
      <w:kern w:val="0"/>
      <w:sz w:val="36"/>
      <w:szCs w:val="36"/>
    </w:rPr>
  </w:style>
  <w:style w:type="paragraph" w:styleId="a4">
    <w:name w:val="Normal (Web)"/>
    <w:basedOn w:val="a"/>
    <w:uiPriority w:val="99"/>
    <w:semiHidden/>
    <w:unhideWhenUsed/>
    <w:rsid w:val="00F2243E"/>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F2243E"/>
    <w:pPr>
      <w:ind w:firstLineChars="200" w:firstLine="420"/>
    </w:pPr>
  </w:style>
  <w:style w:type="character" w:styleId="a6">
    <w:name w:val="Strong"/>
    <w:basedOn w:val="a0"/>
    <w:uiPriority w:val="22"/>
    <w:qFormat/>
    <w:rsid w:val="0042119E"/>
    <w:rPr>
      <w:b/>
      <w:bCs/>
    </w:rPr>
  </w:style>
  <w:style w:type="character" w:customStyle="1" w:styleId="30">
    <w:name w:val="标题 3 字符"/>
    <w:basedOn w:val="a0"/>
    <w:link w:val="3"/>
    <w:uiPriority w:val="9"/>
    <w:semiHidden/>
    <w:rsid w:val="00260D8E"/>
    <w:rPr>
      <w:b/>
      <w:bCs/>
      <w:sz w:val="32"/>
      <w:szCs w:val="32"/>
    </w:rPr>
  </w:style>
  <w:style w:type="character" w:styleId="a7">
    <w:name w:val="Emphasis"/>
    <w:basedOn w:val="a0"/>
    <w:uiPriority w:val="20"/>
    <w:qFormat/>
    <w:rsid w:val="00260D8E"/>
    <w:rPr>
      <w:i/>
      <w:iCs/>
    </w:rPr>
  </w:style>
  <w:style w:type="character" w:customStyle="1" w:styleId="10">
    <w:name w:val="标题 1 字符"/>
    <w:basedOn w:val="a0"/>
    <w:link w:val="1"/>
    <w:uiPriority w:val="9"/>
    <w:rsid w:val="00260D8E"/>
    <w:rPr>
      <w:b/>
      <w:bCs/>
      <w:kern w:val="44"/>
      <w:sz w:val="44"/>
      <w:szCs w:val="44"/>
    </w:rPr>
  </w:style>
  <w:style w:type="character" w:customStyle="1" w:styleId="40">
    <w:name w:val="标题 4 字符"/>
    <w:basedOn w:val="a0"/>
    <w:link w:val="4"/>
    <w:uiPriority w:val="9"/>
    <w:semiHidden/>
    <w:rsid w:val="00260D8E"/>
    <w:rPr>
      <w:rFonts w:asciiTheme="majorHAnsi" w:eastAsiaTheme="majorEastAsia" w:hAnsiTheme="majorHAnsi" w:cstheme="majorBidi"/>
      <w:b/>
      <w:bCs/>
      <w:sz w:val="28"/>
      <w:szCs w:val="28"/>
    </w:rPr>
  </w:style>
  <w:style w:type="character" w:customStyle="1" w:styleId="mt-last-updated">
    <w:name w:val="mt-last-updated"/>
    <w:basedOn w:val="a0"/>
    <w:rsid w:val="0026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27370">
      <w:bodyDiv w:val="1"/>
      <w:marLeft w:val="0"/>
      <w:marRight w:val="0"/>
      <w:marTop w:val="0"/>
      <w:marBottom w:val="0"/>
      <w:divBdr>
        <w:top w:val="none" w:sz="0" w:space="0" w:color="auto"/>
        <w:left w:val="none" w:sz="0" w:space="0" w:color="auto"/>
        <w:bottom w:val="none" w:sz="0" w:space="0" w:color="auto"/>
        <w:right w:val="none" w:sz="0" w:space="0" w:color="auto"/>
      </w:divBdr>
      <w:divsChild>
        <w:div w:id="1793397952">
          <w:marLeft w:val="0"/>
          <w:marRight w:val="0"/>
          <w:marTop w:val="0"/>
          <w:marBottom w:val="0"/>
          <w:divBdr>
            <w:top w:val="none" w:sz="0" w:space="0" w:color="auto"/>
            <w:left w:val="none" w:sz="0" w:space="0" w:color="auto"/>
            <w:bottom w:val="none" w:sz="0" w:space="0" w:color="auto"/>
            <w:right w:val="none" w:sz="0" w:space="0" w:color="auto"/>
          </w:divBdr>
        </w:div>
      </w:divsChild>
    </w:div>
    <w:div w:id="852454599">
      <w:bodyDiv w:val="1"/>
      <w:marLeft w:val="0"/>
      <w:marRight w:val="0"/>
      <w:marTop w:val="0"/>
      <w:marBottom w:val="0"/>
      <w:divBdr>
        <w:top w:val="none" w:sz="0" w:space="0" w:color="auto"/>
        <w:left w:val="none" w:sz="0" w:space="0" w:color="auto"/>
        <w:bottom w:val="none" w:sz="0" w:space="0" w:color="auto"/>
        <w:right w:val="none" w:sz="0" w:space="0" w:color="auto"/>
      </w:divBdr>
    </w:div>
    <w:div w:id="1044448328">
      <w:bodyDiv w:val="1"/>
      <w:marLeft w:val="0"/>
      <w:marRight w:val="0"/>
      <w:marTop w:val="0"/>
      <w:marBottom w:val="0"/>
      <w:divBdr>
        <w:top w:val="none" w:sz="0" w:space="0" w:color="auto"/>
        <w:left w:val="none" w:sz="0" w:space="0" w:color="auto"/>
        <w:bottom w:val="none" w:sz="0" w:space="0" w:color="auto"/>
        <w:right w:val="none" w:sz="0" w:space="0" w:color="auto"/>
      </w:divBdr>
      <w:divsChild>
        <w:div w:id="592322454">
          <w:marLeft w:val="0"/>
          <w:marRight w:val="0"/>
          <w:marTop w:val="0"/>
          <w:marBottom w:val="0"/>
          <w:divBdr>
            <w:top w:val="none" w:sz="0" w:space="0" w:color="auto"/>
            <w:left w:val="none" w:sz="0" w:space="0" w:color="auto"/>
            <w:bottom w:val="none" w:sz="0" w:space="0" w:color="auto"/>
            <w:right w:val="none" w:sz="0" w:space="0" w:color="auto"/>
          </w:divBdr>
          <w:divsChild>
            <w:div w:id="3503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444">
      <w:bodyDiv w:val="1"/>
      <w:marLeft w:val="0"/>
      <w:marRight w:val="0"/>
      <w:marTop w:val="0"/>
      <w:marBottom w:val="0"/>
      <w:divBdr>
        <w:top w:val="none" w:sz="0" w:space="0" w:color="auto"/>
        <w:left w:val="none" w:sz="0" w:space="0" w:color="auto"/>
        <w:bottom w:val="none" w:sz="0" w:space="0" w:color="auto"/>
        <w:right w:val="none" w:sz="0" w:space="0" w:color="auto"/>
      </w:divBdr>
      <w:divsChild>
        <w:div w:id="1312447333">
          <w:marLeft w:val="0"/>
          <w:marRight w:val="0"/>
          <w:marTop w:val="0"/>
          <w:marBottom w:val="0"/>
          <w:divBdr>
            <w:top w:val="none" w:sz="0" w:space="0" w:color="auto"/>
            <w:left w:val="none" w:sz="0" w:space="0" w:color="auto"/>
            <w:bottom w:val="none" w:sz="0" w:space="0" w:color="auto"/>
            <w:right w:val="none" w:sz="0" w:space="0" w:color="auto"/>
          </w:divBdr>
        </w:div>
      </w:divsChild>
    </w:div>
    <w:div w:id="1466312068">
      <w:bodyDiv w:val="1"/>
      <w:marLeft w:val="0"/>
      <w:marRight w:val="0"/>
      <w:marTop w:val="0"/>
      <w:marBottom w:val="0"/>
      <w:divBdr>
        <w:top w:val="none" w:sz="0" w:space="0" w:color="auto"/>
        <w:left w:val="none" w:sz="0" w:space="0" w:color="auto"/>
        <w:bottom w:val="none" w:sz="0" w:space="0" w:color="auto"/>
        <w:right w:val="none" w:sz="0" w:space="0" w:color="auto"/>
      </w:divBdr>
    </w:div>
    <w:div w:id="1920869621">
      <w:bodyDiv w:val="1"/>
      <w:marLeft w:val="0"/>
      <w:marRight w:val="0"/>
      <w:marTop w:val="0"/>
      <w:marBottom w:val="0"/>
      <w:divBdr>
        <w:top w:val="none" w:sz="0" w:space="0" w:color="auto"/>
        <w:left w:val="none" w:sz="0" w:space="0" w:color="auto"/>
        <w:bottom w:val="none" w:sz="0" w:space="0" w:color="auto"/>
        <w:right w:val="none" w:sz="0" w:space="0" w:color="auto"/>
      </w:divBdr>
      <w:divsChild>
        <w:div w:id="166749702">
          <w:marLeft w:val="0"/>
          <w:marRight w:val="0"/>
          <w:marTop w:val="0"/>
          <w:marBottom w:val="0"/>
          <w:divBdr>
            <w:top w:val="none" w:sz="0" w:space="0" w:color="auto"/>
            <w:left w:val="none" w:sz="0" w:space="0" w:color="auto"/>
            <w:bottom w:val="none" w:sz="0" w:space="0" w:color="auto"/>
            <w:right w:val="none" w:sz="0" w:space="0" w:color="auto"/>
          </w:divBdr>
        </w:div>
        <w:div w:id="377437868">
          <w:marLeft w:val="0"/>
          <w:marRight w:val="0"/>
          <w:marTop w:val="0"/>
          <w:marBottom w:val="0"/>
          <w:divBdr>
            <w:top w:val="none" w:sz="0" w:space="0" w:color="auto"/>
            <w:left w:val="none" w:sz="0" w:space="0" w:color="auto"/>
            <w:bottom w:val="none" w:sz="0" w:space="0" w:color="auto"/>
            <w:right w:val="none" w:sz="0" w:space="0" w:color="auto"/>
          </w:divBdr>
        </w:div>
        <w:div w:id="2016953459">
          <w:marLeft w:val="0"/>
          <w:marRight w:val="0"/>
          <w:marTop w:val="0"/>
          <w:marBottom w:val="0"/>
          <w:divBdr>
            <w:top w:val="none" w:sz="0" w:space="0" w:color="auto"/>
            <w:left w:val="none" w:sz="0" w:space="0" w:color="auto"/>
            <w:bottom w:val="none" w:sz="0" w:space="0" w:color="auto"/>
            <w:right w:val="none" w:sz="0" w:space="0" w:color="auto"/>
          </w:divBdr>
        </w:div>
        <w:div w:id="1440489499">
          <w:marLeft w:val="0"/>
          <w:marRight w:val="0"/>
          <w:marTop w:val="0"/>
          <w:marBottom w:val="0"/>
          <w:divBdr>
            <w:top w:val="none" w:sz="0" w:space="0" w:color="auto"/>
            <w:left w:val="none" w:sz="0" w:space="0" w:color="auto"/>
            <w:bottom w:val="none" w:sz="0" w:space="0" w:color="auto"/>
            <w:right w:val="none" w:sz="0" w:space="0" w:color="auto"/>
          </w:divBdr>
          <w:divsChild>
            <w:div w:id="252323667">
              <w:marLeft w:val="0"/>
              <w:marRight w:val="0"/>
              <w:marTop w:val="0"/>
              <w:marBottom w:val="0"/>
              <w:divBdr>
                <w:top w:val="none" w:sz="0" w:space="0" w:color="auto"/>
                <w:left w:val="none" w:sz="0" w:space="0" w:color="auto"/>
                <w:bottom w:val="none" w:sz="0" w:space="0" w:color="auto"/>
                <w:right w:val="none" w:sz="0" w:space="0" w:color="auto"/>
              </w:divBdr>
            </w:div>
            <w:div w:id="804009341">
              <w:marLeft w:val="0"/>
              <w:marRight w:val="0"/>
              <w:marTop w:val="0"/>
              <w:marBottom w:val="0"/>
              <w:divBdr>
                <w:top w:val="none" w:sz="0" w:space="0" w:color="auto"/>
                <w:left w:val="none" w:sz="0" w:space="0" w:color="auto"/>
                <w:bottom w:val="none" w:sz="0" w:space="0" w:color="auto"/>
                <w:right w:val="none" w:sz="0" w:space="0" w:color="auto"/>
              </w:divBdr>
            </w:div>
            <w:div w:id="103306121">
              <w:marLeft w:val="0"/>
              <w:marRight w:val="0"/>
              <w:marTop w:val="0"/>
              <w:marBottom w:val="0"/>
              <w:divBdr>
                <w:top w:val="none" w:sz="0" w:space="0" w:color="auto"/>
                <w:left w:val="none" w:sz="0" w:space="0" w:color="auto"/>
                <w:bottom w:val="none" w:sz="0" w:space="0" w:color="auto"/>
                <w:right w:val="none" w:sz="0" w:space="0" w:color="auto"/>
              </w:divBdr>
            </w:div>
          </w:divsChild>
        </w:div>
        <w:div w:id="1098523708">
          <w:marLeft w:val="0"/>
          <w:marRight w:val="0"/>
          <w:marTop w:val="0"/>
          <w:marBottom w:val="0"/>
          <w:divBdr>
            <w:top w:val="none" w:sz="0" w:space="0" w:color="auto"/>
            <w:left w:val="none" w:sz="0" w:space="0" w:color="auto"/>
            <w:bottom w:val="none" w:sz="0" w:space="0" w:color="auto"/>
            <w:right w:val="none" w:sz="0" w:space="0" w:color="auto"/>
          </w:divBdr>
        </w:div>
        <w:div w:id="701513531">
          <w:marLeft w:val="0"/>
          <w:marRight w:val="0"/>
          <w:marTop w:val="0"/>
          <w:marBottom w:val="0"/>
          <w:divBdr>
            <w:top w:val="none" w:sz="0" w:space="0" w:color="auto"/>
            <w:left w:val="none" w:sz="0" w:space="0" w:color="auto"/>
            <w:bottom w:val="none" w:sz="0" w:space="0" w:color="auto"/>
            <w:right w:val="none" w:sz="0" w:space="0" w:color="auto"/>
          </w:divBdr>
        </w:div>
        <w:div w:id="1484738825">
          <w:marLeft w:val="0"/>
          <w:marRight w:val="0"/>
          <w:marTop w:val="0"/>
          <w:marBottom w:val="0"/>
          <w:divBdr>
            <w:top w:val="none" w:sz="0" w:space="0" w:color="auto"/>
            <w:left w:val="none" w:sz="0" w:space="0" w:color="auto"/>
            <w:bottom w:val="none" w:sz="0" w:space="0" w:color="auto"/>
            <w:right w:val="none" w:sz="0" w:space="0" w:color="auto"/>
          </w:divBdr>
        </w:div>
      </w:divsChild>
    </w:div>
    <w:div w:id="2107533977">
      <w:bodyDiv w:val="1"/>
      <w:marLeft w:val="0"/>
      <w:marRight w:val="0"/>
      <w:marTop w:val="0"/>
      <w:marBottom w:val="0"/>
      <w:divBdr>
        <w:top w:val="none" w:sz="0" w:space="0" w:color="auto"/>
        <w:left w:val="none" w:sz="0" w:space="0" w:color="auto"/>
        <w:bottom w:val="none" w:sz="0" w:space="0" w:color="auto"/>
        <w:right w:val="none" w:sz="0" w:space="0" w:color="auto"/>
      </w:divBdr>
      <w:divsChild>
        <w:div w:id="1529099271">
          <w:marLeft w:val="0"/>
          <w:marRight w:val="0"/>
          <w:marTop w:val="0"/>
          <w:marBottom w:val="0"/>
          <w:divBdr>
            <w:top w:val="none" w:sz="0" w:space="0" w:color="auto"/>
            <w:left w:val="none" w:sz="0" w:space="0" w:color="auto"/>
            <w:bottom w:val="none" w:sz="0" w:space="0" w:color="auto"/>
            <w:right w:val="none" w:sz="0" w:space="0" w:color="auto"/>
          </w:divBdr>
          <w:divsChild>
            <w:div w:id="16355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upa.com/Compliance-Reports_Request-Report.html" TargetMode="External"/><Relationship Id="rId13" Type="http://schemas.openxmlformats.org/officeDocument/2006/relationships/hyperlink" Target="https://success.coupa.com/@api/deki/pages/3405/pdf/Coupa%2bType%2bII%2bSOC%2b1%2bCompliance%2bReport.pdf?stylesheet=default" TargetMode="External"/><Relationship Id="rId18" Type="http://schemas.openxmlformats.org/officeDocument/2006/relationships/hyperlink" Target="https://success.coupa.com/@api/deki/pages/9487/pdf/ISO%2b27001%2bCertification.pdf?stylesheet=defaul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nternational_Electrotechnical_Commission" TargetMode="External"/><Relationship Id="rId7" Type="http://schemas.openxmlformats.org/officeDocument/2006/relationships/hyperlink" Target="https://success.coupa.com/Trust/Security_and_Compliance/Compliance_Certifications/Coupa_HIPAA_Compliance" TargetMode="External"/><Relationship Id="rId12" Type="http://schemas.openxmlformats.org/officeDocument/2006/relationships/hyperlink" Target="https://success.coupa.com/Trust/Security_and_Compliance/Compliance_Certifications/Coupa_Type_II_SOC_1_Compliance_Report" TargetMode="External"/><Relationship Id="rId17" Type="http://schemas.openxmlformats.org/officeDocument/2006/relationships/hyperlink" Target="https://success.coupa.com/Trust/Security_and_Compliance/Compliance_Certifications/ISO_27001_Certific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coupa.com/Compliance-Reports_Request-Report.html" TargetMode="External"/><Relationship Id="rId20" Type="http://schemas.openxmlformats.org/officeDocument/2006/relationships/hyperlink" Target="https://en.wikipedia.org/wiki/International_Organization_for_Standardization" TargetMode="External"/><Relationship Id="rId1" Type="http://schemas.openxmlformats.org/officeDocument/2006/relationships/numbering" Target="numbering.xml"/><Relationship Id="rId6" Type="http://schemas.openxmlformats.org/officeDocument/2006/relationships/hyperlink" Target="https://get.coupa.com/Compliance-Reports_Request-Report.html" TargetMode="External"/><Relationship Id="rId11" Type="http://schemas.openxmlformats.org/officeDocument/2006/relationships/hyperlink" Target="https://get.coupa.com/Compliance-Reports_Request-Report.html" TargetMode="External"/><Relationship Id="rId24" Type="http://schemas.openxmlformats.org/officeDocument/2006/relationships/hyperlink" Target="https://get.coupa.com/Compliance-Reports_Request-Report.html" TargetMode="External"/><Relationship Id="rId5" Type="http://schemas.openxmlformats.org/officeDocument/2006/relationships/hyperlink" Target="https://success.coupa.com/Trust/Security_and_Compliance/Compliance_Certifications/Coupa_GovCloud_and_ITAR_Compliance" TargetMode="External"/><Relationship Id="rId15" Type="http://schemas.openxmlformats.org/officeDocument/2006/relationships/hyperlink" Target="https://success.coupa.com/Trust/Security_and_Compliance/Compliance_Certifications/Coupa_Type_II_SOC_2_Compliance_Report" TargetMode="External"/><Relationship Id="rId23" Type="http://schemas.openxmlformats.org/officeDocument/2006/relationships/hyperlink" Target="https://get.coupa.com/Compliance-Reports_Request-Report.html" TargetMode="External"/><Relationship Id="rId10" Type="http://schemas.openxmlformats.org/officeDocument/2006/relationships/hyperlink" Target="https://success.coupa.com/Trust/Security_and_Compliance/Compliance_Certifications/Coupa_PCI_Cloud_Offering" TargetMode="External"/><Relationship Id="rId19" Type="http://schemas.openxmlformats.org/officeDocument/2006/relationships/hyperlink" Target="https://www.schellmanco.com/" TargetMode="External"/><Relationship Id="rId4" Type="http://schemas.openxmlformats.org/officeDocument/2006/relationships/webSettings" Target="webSettings.xml"/><Relationship Id="rId9" Type="http://schemas.openxmlformats.org/officeDocument/2006/relationships/hyperlink" Target="https://www.coupa.com/pdf/datasheet/CoupaHealthcareCloud.pdf" TargetMode="External"/><Relationship Id="rId14" Type="http://schemas.openxmlformats.org/officeDocument/2006/relationships/hyperlink" Target="https://get.coupa.com/Compliance-Reports_Request-Report.html" TargetMode="External"/><Relationship Id="rId22" Type="http://schemas.openxmlformats.org/officeDocument/2006/relationships/hyperlink" Target="https://cert.schellmanco.com/?certhash=0tBxnmDDskB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2020-03-26T08:58:00Z</dcterms:created>
  <dcterms:modified xsi:type="dcterms:W3CDTF">2020-03-26T09:26:00Z</dcterms:modified>
</cp:coreProperties>
</file>