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E1" w:rsidRPr="00356AE1" w:rsidRDefault="00356AE1" w:rsidP="00356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与 Oracle Fusion 和 EBS 集成的注意事项和最佳实践。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6AE1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有几种方法可以将 Oracle 与 Coupa 集成。这一节是为了帮助使用 Oracle E 业务套件的客户理解与 Coupa 集成时的最佳实践和注意事项而创建的。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6AE1">
        <w:rPr>
          <w:rFonts w:ascii="宋体" w:eastAsia="宋体" w:hAnsi="宋体" w:cs="宋体"/>
          <w:b/>
          <w:bCs/>
          <w:kern w:val="0"/>
          <w:sz w:val="27"/>
          <w:szCs w:val="27"/>
        </w:rPr>
        <w:t>Coupa 标准平面文件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标准文件格式可用于所有主数据和事务数据对象，这些对象通常集成在 Coupa 和 Oracle 之间，客户可以利用这些资源在 Coupa 格式和 Oracle 所需的格式之间进行转换。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6AE1">
        <w:rPr>
          <w:rFonts w:ascii="宋体" w:eastAsia="宋体" w:hAnsi="宋体" w:cs="宋体"/>
          <w:b/>
          <w:bCs/>
          <w:kern w:val="0"/>
          <w:sz w:val="27"/>
          <w:szCs w:val="27"/>
        </w:rPr>
        <w:t>库帕 API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我们的标准 REST API 可以被那些希望实现更复杂的集成的客户所使用，并且对于那些拥有中间件平台和可用于协调 Coupa 和 Oracle 之间集成的资源的客户来说，orchestrate a 是一种常见的方法。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6AE1">
        <w:rPr>
          <w:rFonts w:ascii="宋体" w:eastAsia="宋体" w:hAnsi="宋体" w:cs="宋体"/>
          <w:b/>
          <w:bCs/>
          <w:kern w:val="0"/>
          <w:sz w:val="27"/>
          <w:szCs w:val="27"/>
        </w:rPr>
        <w:t>Oracle 开放接口表和 Oracle API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Coupa 现在提供了与 Oracle 开放接口表模式相匹配的本机出站文件格式。对于那些希望 Coupa 管理 Coupa 和 Oracle 格式之间的转换的客户来说，这是一种常见的方法。更多细节可以在下面的 Oracle 开放接口表和 Oracle API 部分中找到。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6AE1">
        <w:rPr>
          <w:rFonts w:ascii="宋体" w:eastAsia="宋体" w:hAnsi="宋体" w:cs="宋体"/>
          <w:b/>
          <w:bCs/>
          <w:kern w:val="0"/>
          <w:sz w:val="36"/>
          <w:szCs w:val="36"/>
        </w:rPr>
        <w:t>考虑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在许多情况下，我们的客户将混合和匹配各种集成方法，以提供最佳的集成模型。例如，您可以利用 Coupa 对于入站主数据的标准平面文件格式，并让 Coupa 为出站事务提供 Oracle 特定的格式。选择的方法因客户而异，Coupa将作为实现过程的一部分提供指导。</w:t>
      </w:r>
    </w:p>
    <w:p w:rsidR="00356AE1" w:rsidRPr="00356AE1" w:rsidRDefault="00356AE1" w:rsidP="00356A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AE1">
        <w:rPr>
          <w:rFonts w:ascii="宋体" w:eastAsia="宋体" w:hAnsi="宋体" w:cs="宋体"/>
          <w:kern w:val="0"/>
          <w:sz w:val="24"/>
          <w:szCs w:val="24"/>
        </w:rPr>
        <w:t>无论您选择哪种方法，对 Coupa 实例中的数据进行适当的建模以确保对 Oracle 中的业务流程进行适当的支持都是非常重要的。</w:t>
      </w:r>
    </w:p>
    <w:p w:rsidR="00356AE1" w:rsidRPr="00356AE1" w:rsidRDefault="00356AE1" w:rsidP="00356A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27791bbe-0ca8-7d9e-6b0c-75744aa3b370" w:history="1">
        <w:r w:rsidRPr="00356A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主题层次</w:t>
        </w:r>
      </w:hyperlink>
    </w:p>
    <w:p w:rsidR="00C7496D" w:rsidRDefault="00C7496D">
      <w:bookmarkStart w:id="0" w:name="_GoBack"/>
      <w:bookmarkEnd w:id="0"/>
    </w:p>
    <w:sectPr w:rsidR="00C7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415E6"/>
    <w:multiLevelType w:val="multilevel"/>
    <w:tmpl w:val="78DC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2E"/>
    <w:rsid w:val="00116E2E"/>
    <w:rsid w:val="00356AE1"/>
    <w:rsid w:val="00C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4498-9A57-458A-8D60-E638C5BA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6A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6A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6A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6AE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6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ccess.coupa.com/Integrate/ERP_Playbooks/Oracle_E-Business_Suite_Integration_Play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2020-03-27T06:35:00Z</dcterms:created>
  <dcterms:modified xsi:type="dcterms:W3CDTF">2020-03-27T06:36:00Z</dcterms:modified>
</cp:coreProperties>
</file>