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C8" w:rsidRPr="00BA34C8" w:rsidRDefault="00BA34C8" w:rsidP="00BA34C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34C8">
        <w:rPr>
          <w:rFonts w:ascii="宋体" w:eastAsia="宋体" w:hAnsi="宋体" w:cs="宋体"/>
          <w:b/>
          <w:bCs/>
          <w:kern w:val="0"/>
          <w:sz w:val="36"/>
          <w:szCs w:val="36"/>
        </w:rPr>
        <w:t>应计</w:t>
      </w:r>
    </w:p>
    <w:p w:rsidR="00BA34C8" w:rsidRPr="00BA34C8" w:rsidRDefault="00BA34C8" w:rsidP="00BA3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本文为那些日常管理 GL 应计项目并需要交换交易信息以自动化这些项目的客户提供参考点，作为日常应计项目实践的一部分。在这种情况下，来自 Coupa 的出站文件提要将是用于创建权责发生制和发票以创建反转的收据。 Customer 需要在其中间件中拥有和开发这个过程，以便将这些事务转换为适当的权责发生制调整。请参见</w:t>
      </w:r>
      <w:r w:rsidRPr="00BA34C8">
        <w:rPr>
          <w:rFonts w:ascii="宋体" w:eastAsia="宋体" w:hAnsi="宋体" w:cs="宋体"/>
          <w:i/>
          <w:iCs/>
          <w:kern w:val="0"/>
          <w:sz w:val="24"/>
          <w:szCs w:val="24"/>
        </w:rPr>
        <w:t>SAP 集成剧本。</w:t>
      </w:r>
      <w:r w:rsidRPr="00BA34C8">
        <w:rPr>
          <w:rFonts w:ascii="宋体" w:eastAsia="宋体" w:hAnsi="宋体" w:cs="宋体"/>
          <w:kern w:val="0"/>
          <w:sz w:val="24"/>
          <w:szCs w:val="24"/>
        </w:rPr>
        <w:t>对于按月计算应计项目的客户，从 Coupa 导出应计项目报告是一种更合适的方法。</w:t>
      </w:r>
      <w:r w:rsidRPr="00BA34C8">
        <w:rPr>
          <w:rFonts w:ascii="宋体" w:eastAsia="宋体" w:hAnsi="宋体" w:cs="宋体"/>
          <w:b/>
          <w:bCs/>
          <w:kern w:val="0"/>
          <w:sz w:val="24"/>
          <w:szCs w:val="24"/>
        </w:rPr>
        <w:t>设置报告</w:t>
      </w:r>
    </w:p>
    <w:p w:rsidR="00BA34C8" w:rsidRPr="00BA34C8" w:rsidRDefault="00BA34C8" w:rsidP="00BA3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A34C8" w:rsidRPr="00BA34C8" w:rsidRDefault="00BA34C8" w:rsidP="00BA3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A34C8">
        <w:rPr>
          <w:rFonts w:ascii="宋体" w:eastAsia="宋体" w:hAnsi="宋体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4343400" cy="2914650"/>
                <wp:effectExtent l="0" t="0" r="0" b="0"/>
                <wp:docPr id="4" name="矩形 4" descr="https://lh6.googleusercontent.com/DCk6ZTthoJCq1JAAj1dV5hmFe-Y3aRyQx20FX1j3bBEDdL7bNFNq5Dlno0Q9ka1FehGB-YQ7PZAMSw-b0veoQ25OFlJyiunaoXKaEHN2i1H6-bwdWtQd-gTUCJYX4WJTI3wSYY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434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90330" id="矩形 4" o:spid="_x0000_s1026" alt="https://lh6.googleusercontent.com/DCk6ZTthoJCq1JAAj1dV5hmFe-Y3aRyQx20FX1j3bBEDdL7bNFNq5Dlno0Q9ka1FehGB-YQ7PZAMSw-b0veoQ25OFlJyiunaoXKaEHN2i1H6-bwdWtQd-gTUCJYX4WJTI3wSYYne" style="width:342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1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．当收到商品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服务时，用户在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Coupa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中输入收据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2.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接收出站集成以正常的调度节奏运行。在此期间，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SAP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中发生了两个自动日志记录：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借记：以名义和成本中心的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数据为准的损益表和损益表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信贷：资产负债表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— —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为未开发票的货物产生应计收益（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GRNI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c.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例子：</w:t>
      </w:r>
    </w:p>
    <w:p w:rsidR="00BA34C8" w:rsidRPr="00BA34C8" w:rsidRDefault="00BA34C8" w:rsidP="00BA3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A34C8" w:rsidRPr="00BA34C8" w:rsidRDefault="00BA34C8" w:rsidP="00BA3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                                       </w:t>
      </w:r>
      <w:r w:rsidRPr="00BA34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3250" cy="3105150"/>
            <wp:effectExtent l="0" t="0" r="0" b="0"/>
            <wp:docPr id="3" name="图片 3" descr="Screen Shot 2018-03-08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8-03-08 at 4.44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C8" w:rsidRPr="00BA34C8" w:rsidRDefault="00BA34C8" w:rsidP="00BA34C8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BA34C8">
        <w:rPr>
          <w:rFonts w:ascii="宋体" w:eastAsia="宋体" w:hAnsi="宋体" w:cs="宋体"/>
          <w:b/>
          <w:bCs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3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．然后将发票按一定的进度进行处理并发送给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SAP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。在付款期间，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SAP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会有两个自动日记帐分录：</w:t>
      </w:r>
    </w:p>
    <w:p w:rsidR="00BA34C8" w:rsidRPr="00BA34C8" w:rsidRDefault="00BA34C8" w:rsidP="00BA3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a.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借记：资产负债表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— — GRNI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应计制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— —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引用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数字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信用：供应商帐户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— —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然后按付款方式付款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c.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例子：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                                     </w:t>
      </w:r>
      <w:r w:rsidRPr="00BA34C8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21400" cy="1333500"/>
            <wp:effectExtent l="0" t="0" r="0" b="0"/>
            <wp:docPr id="2" name="图片 2" descr="Screen Shot 2018-03-08 at 4.5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8-03-08 at 4.54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4.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这将导致任何剩余的金额留在资产负债表上，直到它被开具发票并记入借方为止</w:t>
      </w:r>
    </w:p>
    <w:p w:rsidR="00BA34C8" w:rsidRPr="00BA34C8" w:rsidRDefault="00BA34C8" w:rsidP="00BA34C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34C8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答：例子：</w:t>
      </w:r>
    </w:p>
    <w:p w:rsidR="00BA34C8" w:rsidRPr="00BA34C8" w:rsidRDefault="00BA34C8" w:rsidP="00BA34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i/>
          <w:iCs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2050" cy="1809750"/>
            <wp:effectExtent l="0" t="0" r="6350" b="0"/>
            <wp:docPr id="1" name="图片 1" descr="Screen Shot 2018-03-09 at 1.1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8-03-09 at 1.12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C8" w:rsidRPr="00BA34C8" w:rsidRDefault="00BA34C8" w:rsidP="00BA34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A34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5.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编号可以用作发票和收据之间的共同参考值（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不是作为独立对象发送给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SAP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的）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6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．如果收到的发票价格高于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金额，则费用通过客户的中间件进行如下分配：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金额记录在资产负债表上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— —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结清应计金额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发票金额减去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金额（额外的发票金额）被邮寄到原始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PO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被编码到的损益表上。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7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．计费过程的分发必须通过客户的中间件逻辑在集成层中实现自动化。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A34C8" w:rsidRPr="00BA34C8" w:rsidRDefault="00BA34C8" w:rsidP="00BA34C8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SAP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中记录的应计项目可以定期与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Coupa </w:t>
      </w:r>
      <w:r w:rsidRPr="00BA34C8">
        <w:rPr>
          <w:rFonts w:ascii="Arial" w:eastAsia="宋体" w:hAnsi="Arial" w:cs="Arial"/>
          <w:color w:val="000000"/>
          <w:kern w:val="0"/>
          <w:sz w:val="20"/>
          <w:szCs w:val="20"/>
        </w:rPr>
        <w:t>提供的应计项目报告进行交叉引用。</w:t>
      </w:r>
    </w:p>
    <w:p w:rsidR="00E04010" w:rsidRDefault="00E04010"/>
    <w:sectPr w:rsidR="00E0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C1"/>
    <w:rsid w:val="00651DC1"/>
    <w:rsid w:val="00BA34C8"/>
    <w:rsid w:val="00E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79A9-4398-40BA-A6B8-EA6E8651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34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34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34C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A3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A34C8"/>
    <w:rPr>
      <w:i/>
      <w:iCs/>
    </w:rPr>
  </w:style>
  <w:style w:type="character" w:styleId="a5">
    <w:name w:val="Strong"/>
    <w:basedOn w:val="a0"/>
    <w:uiPriority w:val="22"/>
    <w:qFormat/>
    <w:rsid w:val="00BA34C8"/>
    <w:rPr>
      <w:b/>
      <w:bCs/>
    </w:rPr>
  </w:style>
  <w:style w:type="character" w:customStyle="1" w:styleId="mt-color-000000">
    <w:name w:val="mt-color-000000"/>
    <w:basedOn w:val="a0"/>
    <w:rsid w:val="00BA34C8"/>
  </w:style>
  <w:style w:type="paragraph" w:customStyle="1" w:styleId="mt-indent-1">
    <w:name w:val="mt-indent-1"/>
    <w:basedOn w:val="a"/>
    <w:rsid w:val="00BA3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2020-03-30T02:50:00Z</dcterms:created>
  <dcterms:modified xsi:type="dcterms:W3CDTF">2020-03-30T02:52:00Z</dcterms:modified>
</cp:coreProperties>
</file>