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配置 Coupa 以与 SAP 适当集成时，通常必须使用 Coupa 的动态记帐功能。在 Coupa 的标准帐户字符串模型下，涉及的段数往往会创建太多可能的组合来预先定义每个帐户。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0450" cy="1936750"/>
            <wp:effectExtent l="0" t="0" r="0" b="6350"/>
            <wp:docPr id="2" name="图片 2" descr="https://success.coupa.com/@api/deki/files/486/choose_account.png?revision=1&amp;size=bestfit&amp;width=378&amp;height=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ccess.coupa.com/@api/deki/files/486/choose_account.png?revision=1&amp;size=bestfit&amp;width=378&amp;height=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在大多数 SAP 环境中都涉及到以下会计因素：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公司代码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采购组织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采购组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帐户分配类别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成本中心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营业面积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总分类帐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内部指令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WBS 元件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资产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植物</w:t>
      </w:r>
    </w:p>
    <w:p w:rsidR="00521688" w:rsidRPr="00521688" w:rsidRDefault="00521688" w:rsidP="00521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材料组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因为 SAP 中的公司代码位于采购订单和发票的头部级别，所以我们通常在每个公司的 Coupa 中定义一个单独的会计报表（COA）。 SAP 中几个会计元素的可用值是由选定的公司驱动的，因此每个公司都有一个单独的 COA，这有助于简化 Coupa 中的数据结构，并为最终用户提供合适的过滤级别。在集成大型组织中的多个 SAP 实例时，该模型还提供了适当的灵活性和分段性。公司代码也可以属于 SAP 中的特定购买组织。由于我们通常在公司代码级别定义我们的会计报表，所以我们通常不在 Coupa 中指定采购组织。如果需要，我们可以向查找值添加一个自定义字段，以定义与每个公司代码相关联的购买组织。采购组可以作为自定义字段添加在请求中，也可以作为用户填充字段添加，或者我们可以将值作为自定义字段添加到供应商配置文件中，并映射到每个供应商。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根据每个组织的需求，工厂有几种选择。我们可以设置每个工厂作为一个船到地址，这是选择的要求。或者，如果工厂需要被公司代码过滤，我们可以将每个公司代码映射到一个特定的工厂，或者我们可以将工厂添加为一个会计部分，并为每个公司筛选适当的值。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lastRenderedPageBreak/>
        <w:t>物组是 Coupa 中商品的同义词，因此这些值通常在 Coupa 中定义为商品。在许多组织中，材料组还驱动可用的总分类帐值，以便我们可以将每个商品代码映射到一个单独的 GL 帐户，或者我们可以将材料组添加为一个会计段，为用户提供每个材料组的 GL 帐户的筛选列表。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选择的帐户类别驱动需要填充的会计字段。我们可以使用 Coupa 的帐户验证规则来执行类似的功能，这样我们就可以防止为每个帐户类别填充某些字段：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2514600"/>
            <wp:effectExtent l="0" t="0" r="0" b="0"/>
            <wp:docPr id="1" name="图片 1" descr="https://success.coupa.com/@api/deki/files/487/choose_account_error.png?revision=1&amp;size=bestfit&amp;width=416&amp;height=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ccess.coupa.com/@api/deki/files/487/choose_account_error.png?revision=1&amp;size=bestfit&amp;width=416&amp;height=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集成最常见的是通过 Coupa 标准平面文件格式完成的。下面是一个标准平面文件的示例，它可以将您的会计结构加载到 Coupa 中（请注意用于过滤数据的层次结构）：</w:t>
      </w:r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Sample_Data_-_Lookup_Values.xls" w:history="1">
        <w:r w:rsidRPr="005216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样本会计数据文件</w:t>
        </w:r>
      </w:hyperlink>
    </w:p>
    <w:p w:rsidR="00521688" w:rsidRPr="00521688" w:rsidRDefault="00521688" w:rsidP="00521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688">
        <w:rPr>
          <w:rFonts w:ascii="宋体" w:eastAsia="宋体" w:hAnsi="宋体" w:cs="宋体"/>
          <w:kern w:val="0"/>
          <w:sz w:val="24"/>
          <w:szCs w:val="24"/>
        </w:rPr>
        <w:t>由于数据的相对静态性质（例如公司代码、帐户类别和商品），在 Coupa 中手动维护这些元素是很常见的。这种结构确实允许单独加载每个业务对象，以允许手动维护和集成其他业务对象。</w:t>
      </w:r>
    </w:p>
    <w:p w:rsidR="00B52984" w:rsidRDefault="00B52984">
      <w:bookmarkStart w:id="0" w:name="_GoBack"/>
      <w:bookmarkEnd w:id="0"/>
    </w:p>
    <w:sectPr w:rsidR="00B5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3FC1"/>
    <w:multiLevelType w:val="multilevel"/>
    <w:tmpl w:val="221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97"/>
    <w:rsid w:val="00521688"/>
    <w:rsid w:val="00991497"/>
    <w:rsid w:val="00B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29F01-258B-463A-BEA4-2F65707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ffiletext">
    <w:name w:val="wf_file_text"/>
    <w:basedOn w:val="a0"/>
    <w:rsid w:val="0052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@api/deki/files/488/Sample_Data_-_Lookup_Values.xls?revi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2020-03-30T03:00:00Z</dcterms:created>
  <dcterms:modified xsi:type="dcterms:W3CDTF">2020-03-30T03:00:00Z</dcterms:modified>
</cp:coreProperties>
</file>