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2D3" w:rsidRPr="008962D3" w:rsidRDefault="008962D3" w:rsidP="008962D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62D3">
        <w:rPr>
          <w:rFonts w:ascii="宋体" w:eastAsia="宋体" w:hAnsi="宋体" w:cs="宋体"/>
          <w:b/>
          <w:bCs/>
          <w:kern w:val="0"/>
          <w:sz w:val="36"/>
          <w:szCs w:val="36"/>
        </w:rPr>
        <w:t>购买支付过程集成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下图显示了标准 P2P 流程流以及与第三方系统的简单 P2P 集成。</w:t>
      </w:r>
      <w:r w:rsidRPr="008962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83700" cy="5219700"/>
            <wp:effectExtent l="0" t="0" r="0" b="0"/>
            <wp:docPr id="3" name="图片 3" descr="https://success.coupa.com/@api/deki/files/1823/Coupa_P2P_Model.png?revision=1&amp;size=bestfit&amp;width=975&amp;height=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ccess.coupa.com/@api/deki/files/1823/Coupa_P2P_Model.png?revision=1&amp;size=bestfit&amp;width=975&amp;height=5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Coupa 的 P2P +费用支付集成模型包括：</w:t>
      </w:r>
    </w:p>
    <w:p w:rsidR="008962D3" w:rsidRPr="008962D3" w:rsidRDefault="008962D3" w:rsidP="008962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Coupa（标记为 “1”）的会计要素图表</w:t>
      </w:r>
    </w:p>
    <w:p w:rsidR="008962D3" w:rsidRPr="008962D3" w:rsidRDefault="008962D3" w:rsidP="008962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 的供应商（标记为 “1”）</w:t>
      </w:r>
    </w:p>
    <w:p w:rsidR="008962D3" w:rsidRPr="008962D3" w:rsidRDefault="008962D3" w:rsidP="008962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从人力资源系统到 Coupa 主数据集成到 Coupa 的用户（标记为 “1”）</w:t>
      </w:r>
    </w:p>
    <w:p w:rsidR="008962D3" w:rsidRPr="008962D3" w:rsidRDefault="008962D3" w:rsidP="008962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批准的发票可以支付从 Coupa 到 ERP 的集成（标记为 “4”）</w:t>
      </w:r>
    </w:p>
    <w:p w:rsidR="008962D3" w:rsidRPr="008962D3" w:rsidRDefault="008962D3" w:rsidP="008962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 的支付信息交易数据（标记为 “5”）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合作伙伴的 ERP P2P 连接器产品必须在这些对象上进行认证。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lastRenderedPageBreak/>
        <w:t>P2P 过程涉及到与 Coupa 供应商网络（CSN）的开箱即用集成和与供应商的开票集成（标记为 “2”、“3”、“4”、“6”）。连接器不需要提供这些集成点。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62D3">
        <w:rPr>
          <w:rFonts w:ascii="宋体" w:eastAsia="宋体" w:hAnsi="宋体" w:cs="宋体"/>
          <w:b/>
          <w:bCs/>
          <w:kern w:val="0"/>
          <w:sz w:val="36"/>
          <w:szCs w:val="36"/>
        </w:rPr>
        <w:t>购买支付 +费用流程集成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83700" cy="5200650"/>
            <wp:effectExtent l="0" t="0" r="0" b="0"/>
            <wp:docPr id="2" name="图片 2" descr="https://success.coupa.com/@api/deki/files/1824/Coupa_P2P_%252B_Expenses_Model.png?revision=1&amp;size=bestfit&amp;width=975&amp;height=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ccess.coupa.com/@api/deki/files/1824/Coupa_P2P_%252B_Expenses_Model.png?revision=1&amp;size=bestfit&amp;width=975&amp;height=5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Coupa P2P +费用支付集成模型包括：</w:t>
      </w:r>
    </w:p>
    <w:p w:rsidR="008962D3" w:rsidRPr="008962D3" w:rsidRDefault="008962D3" w:rsidP="008962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Coupa（标记为 “1”）的会计要素图表</w:t>
      </w:r>
    </w:p>
    <w:p w:rsidR="008962D3" w:rsidRPr="008962D3" w:rsidRDefault="008962D3" w:rsidP="008962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 的供应商（标记为 “1”）</w:t>
      </w:r>
    </w:p>
    <w:p w:rsidR="008962D3" w:rsidRPr="008962D3" w:rsidRDefault="008962D3" w:rsidP="008962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从人力资源系统到 Coupa 主数据集成到 Coupa 的用户（标记为 “1”）</w:t>
      </w:r>
    </w:p>
    <w:p w:rsidR="008962D3" w:rsidRPr="008962D3" w:rsidRDefault="008962D3" w:rsidP="008962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批准的发票可以支付从 Coupa 到 ERP 的集成（标记为 “4”）</w:t>
      </w:r>
    </w:p>
    <w:p w:rsidR="008962D3" w:rsidRPr="008962D3" w:rsidRDefault="008962D3" w:rsidP="008962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 的支付信息交易数据（标记为 “5”）</w:t>
      </w:r>
    </w:p>
    <w:p w:rsidR="008962D3" w:rsidRPr="008962D3" w:rsidRDefault="008962D3" w:rsidP="008962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费用（报告）从 Coupa 到 ERP 的事务性数据集成（标记为 “9”）</w:t>
      </w:r>
    </w:p>
    <w:p w:rsidR="008962D3" w:rsidRPr="008962D3" w:rsidRDefault="008962D3" w:rsidP="008962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 的费用支付交易数据（标记为 “10”）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lastRenderedPageBreak/>
        <w:t>合作伙伴的 ERP P2P +费用连接器产品必须在这些对象上进行认证。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P2P 过程涉及到与 Coupa 供应商门户（CSP）的开箱即用集成和与供应商的开票集成（标记为 “2”、“3”、“4”、“6”）。连接器不需要提供这些集成点。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62D3">
        <w:rPr>
          <w:rFonts w:ascii="宋体" w:eastAsia="宋体" w:hAnsi="宋体" w:cs="宋体"/>
          <w:b/>
          <w:bCs/>
          <w:kern w:val="0"/>
          <w:sz w:val="36"/>
          <w:szCs w:val="36"/>
        </w:rPr>
        <w:t>采购支付 +费用 +采购订单、货物收据、预算流程集成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下图显示了标准 P2P +费用 +采购订单、货物收据、预算流程以及与第三方系统的集成。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83700" cy="5124450"/>
            <wp:effectExtent l="0" t="0" r="0" b="0"/>
            <wp:docPr id="1" name="图片 1" descr="https://success.coupa.com/@api/deki/files/1825/Coupa_P2P_%252B_Expenses_%252B_Budget_Model.png?revision=1&amp;size=bestfit&amp;width=975&amp;height=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ccess.coupa.com/@api/deki/files/1825/Coupa_P2P_%252B_Expenses_%252B_Budget_Model.png?revision=1&amp;size=bestfit&amp;width=975&amp;height=5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Coupa P2P +费用 + PO/GR/预算集成模型包括：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Coupa（标记为 “1”）的会计要素图表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 的供应商（标记为 “1”）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lastRenderedPageBreak/>
        <w:t>从人力资源系统到 Coupa 主数据集成到 Coupa 的用户（标记为 “1”）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批准的发票可以支付从 Coupa 到 ERP 的集成（标记为 “4”）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 的支付信息交易数据（标记为 “5”）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采购订单事务数据集成从 Coupa 到 ERP（标记为 “7”）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货物接收从 Coupa 到 ERP 的事务数据集成（标记为 “8”）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费用（报告）从 Coupa 到 ERP 的事务性数据集成（标记为 “9”）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 的费用支付交易数据（标记为 “10”）</w:t>
      </w:r>
    </w:p>
    <w:p w:rsidR="008962D3" w:rsidRPr="008962D3" w:rsidRDefault="008962D3" w:rsidP="008962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从 ERP 到 Coupa 的预算数据（标记为 “11”）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合作伙伴的 ERP P2P +费用 + PO/GR/Budget 连接器产品必须在这些对象上进行认证。</w:t>
      </w:r>
    </w:p>
    <w:p w:rsidR="008962D3" w:rsidRPr="008962D3" w:rsidRDefault="008962D3" w:rsidP="008962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2D3">
        <w:rPr>
          <w:rFonts w:ascii="宋体" w:eastAsia="宋体" w:hAnsi="宋体" w:cs="宋体"/>
          <w:kern w:val="0"/>
          <w:sz w:val="24"/>
          <w:szCs w:val="24"/>
        </w:rPr>
        <w:t>P2P 过程涉及到与 Coupa 供应商门户（CSP）的开箱即用集成和与供应商的开票集成（标记为 “2”、“3”、“4”、“6”）。连接器不需要提供这些集成点。</w:t>
      </w:r>
    </w:p>
    <w:p w:rsidR="00751406" w:rsidRDefault="00751406">
      <w:bookmarkStart w:id="0" w:name="_GoBack"/>
      <w:bookmarkEnd w:id="0"/>
    </w:p>
    <w:sectPr w:rsidR="00751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634"/>
    <w:multiLevelType w:val="multilevel"/>
    <w:tmpl w:val="601A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1060A"/>
    <w:multiLevelType w:val="multilevel"/>
    <w:tmpl w:val="BE1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84816"/>
    <w:multiLevelType w:val="multilevel"/>
    <w:tmpl w:val="72F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60"/>
    <w:rsid w:val="00751406"/>
    <w:rsid w:val="008962D3"/>
    <w:rsid w:val="0096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30E7D-F86A-4921-886A-7DB15B2E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62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62D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96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2020-03-30T06:16:00Z</dcterms:created>
  <dcterms:modified xsi:type="dcterms:W3CDTF">2020-03-30T06:16:00Z</dcterms:modified>
</cp:coreProperties>
</file>