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7F" w:rsidRPr="00E57B7F" w:rsidRDefault="00E57B7F" w:rsidP="00E57B7F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E57B7F">
        <w:rPr>
          <w:rFonts w:ascii="Arial" w:eastAsia="宋体" w:hAnsi="Arial" w:cs="Arial"/>
          <w:kern w:val="0"/>
          <w:sz w:val="36"/>
          <w:szCs w:val="36"/>
        </w:rPr>
        <w:t>経験から利益を得る</w:t>
      </w:r>
    </w:p>
    <w:p w:rsidR="00E57B7F" w:rsidRPr="00E57B7F" w:rsidRDefault="00E57B7F" w:rsidP="00E57B7F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57B7F">
        <w:rPr>
          <w:rFonts w:ascii="Arial" w:eastAsia="宋体" w:hAnsi="Arial" w:cs="Arial"/>
          <w:kern w:val="0"/>
          <w:sz w:val="24"/>
          <w:szCs w:val="24"/>
        </w:rPr>
        <w:t>私たちの経験は、私たちの考え方や物事のやり方を知らせました。</w:t>
      </w:r>
      <w:r w:rsidRPr="00E57B7F">
        <w:rPr>
          <w:rFonts w:ascii="Arial" w:eastAsia="宋体" w:hAnsi="Arial" w:cs="Arial"/>
          <w:kern w:val="0"/>
          <w:sz w:val="24"/>
          <w:szCs w:val="24"/>
        </w:rPr>
        <w:t>Coupa</w:t>
      </w:r>
      <w:r w:rsidRPr="00E57B7F">
        <w:rPr>
          <w:rFonts w:ascii="Arial" w:eastAsia="宋体" w:hAnsi="Arial" w:cs="Arial"/>
          <w:kern w:val="0"/>
          <w:sz w:val="24"/>
          <w:szCs w:val="24"/>
        </w:rPr>
        <w:t>プラットフォームは、業界をリードするビジネス慣行を具現化し、多くの実装を通じて、一貫して優れた結果につながることが示された実装技術を開発、収集、統合したと考えています。これらの選択されたプラクティスのいくつかをここで共有します。</w:t>
      </w:r>
    </w:p>
    <w:p w:rsidR="00E57B7F" w:rsidRPr="00E57B7F" w:rsidRDefault="00E57B7F" w:rsidP="00E57B7F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57B7F">
        <w:rPr>
          <w:rFonts w:ascii="Arial" w:eastAsia="宋体" w:hAnsi="Arial" w:cs="Arial"/>
          <w:kern w:val="0"/>
          <w:sz w:val="24"/>
          <w:szCs w:val="24"/>
        </w:rPr>
        <w:t>実装の一環として、以下のトピックを検討し、検討することをお勧めします。</w:t>
      </w:r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5" w:tooltip="Account Structure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勘定構造</w:t>
        </w:r>
      </w:hyperlink>
    </w:p>
    <w:p w:rsidR="00E57B7F" w:rsidRPr="00E57B7F" w:rsidRDefault="00E57B7F" w:rsidP="00E57B7F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57B7F">
        <w:rPr>
          <w:rFonts w:ascii="Arial" w:eastAsia="宋体" w:hAnsi="Arial" w:cs="Arial"/>
          <w:color w:val="333333"/>
          <w:kern w:val="0"/>
          <w:sz w:val="22"/>
        </w:rPr>
        <w:t>作成した勘定構造は、承認、予算作成、レポートなど、あらゆるものに影響します。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Coupa 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でアカウントを最適に設定する方法については、こちらをご覧ください。</w:t>
      </w:r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6" w:tooltip="Distributed System Administration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分散システム管理</w:t>
        </w:r>
      </w:hyperlink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7" w:tooltip="Five Steps to Success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成功への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5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つのステップ</w:t>
        </w:r>
      </w:hyperlink>
    </w:p>
    <w:p w:rsidR="00E57B7F" w:rsidRPr="00E57B7F" w:rsidRDefault="00E57B7F" w:rsidP="00E57B7F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57B7F">
        <w:rPr>
          <w:rFonts w:ascii="Arial" w:eastAsia="宋体" w:hAnsi="Arial" w:cs="Arial"/>
          <w:color w:val="333333"/>
          <w:kern w:val="0"/>
          <w:sz w:val="22"/>
        </w:rPr>
        <w:t>成功を学ぶと、業界のベストプラクティスを使用してエグゼクティブリーダーシップから始まります。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Coupa 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を使用して会社が成功することを確認する方法を説明します。</w:t>
      </w:r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8" w:tooltip="Global Rollout Considerations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グローバル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 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ロールアウトに関する考慮事項</w:t>
        </w:r>
      </w:hyperlink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9" w:tooltip="Implementation Options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実装オプション</w:t>
        </w:r>
      </w:hyperlink>
    </w:p>
    <w:p w:rsidR="00E57B7F" w:rsidRPr="00E57B7F" w:rsidRDefault="00E57B7F" w:rsidP="00E57B7F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Coupa 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の使用方法は、単なる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 req 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から完全な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 P2P (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調達から支払い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) 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ソリューションまで選択できます。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 xml:space="preserve">Coupa </w:t>
      </w:r>
      <w:r w:rsidRPr="00E57B7F">
        <w:rPr>
          <w:rFonts w:ascii="Arial" w:eastAsia="宋体" w:hAnsi="Arial" w:cs="Arial"/>
          <w:color w:val="333333"/>
          <w:kern w:val="0"/>
          <w:sz w:val="22"/>
        </w:rPr>
        <w:t>を使用して会社のニーズを最大限に満たす方法をご覧ください。</w:t>
      </w:r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0" w:tooltip="Implementing Budgets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予算の実施</w:t>
        </w:r>
      </w:hyperlink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1" w:tooltip="InvoiceSmash Implementation Best Practices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インプリメンテーションのベストプラクティス</w:t>
        </w:r>
      </w:hyperlink>
    </w:p>
    <w:p w:rsidR="00E57B7F" w:rsidRPr="00E57B7F" w:rsidRDefault="00E57B7F" w:rsidP="00E57B7F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12" w:tooltip="Suppliers Master Data Source" w:history="1"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仕入先マスター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 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データ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 xml:space="preserve"> </w:t>
        </w:r>
        <w:r w:rsidRPr="00E57B7F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ソース</w:t>
        </w:r>
      </w:hyperlink>
    </w:p>
    <w:p w:rsidR="00BF5B29" w:rsidRDefault="00BF5B29">
      <w:bookmarkStart w:id="0" w:name="_GoBack"/>
      <w:bookmarkEnd w:id="0"/>
    </w:p>
    <w:sectPr w:rsidR="00BF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29C"/>
    <w:multiLevelType w:val="multilevel"/>
    <w:tmpl w:val="594C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A6"/>
    <w:rsid w:val="00BF5B29"/>
    <w:rsid w:val="00E57B7F"/>
    <w:rsid w:val="00FB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C743F-521F-47F3-9461-1AD8547F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7B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B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7B7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57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7B7F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E57B7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cess.coupa.com/Implement/Best_Practices/Global_Rollout_Considera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Implement/Best_Practices/Five_Steps_to_Success" TargetMode="External"/><Relationship Id="rId12" Type="http://schemas.openxmlformats.org/officeDocument/2006/relationships/hyperlink" Target="https://success.coupa.com/Implement/Best_Practices/Suppliers_Master_Data_Sour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mplement/Best_Practices/Distributed_System_Administration" TargetMode="External"/><Relationship Id="rId11" Type="http://schemas.openxmlformats.org/officeDocument/2006/relationships/hyperlink" Target="https://success.coupa.com/Implement/Best_Practices/InvoiceSmash_Implementation_Best_Practices" TargetMode="External"/><Relationship Id="rId5" Type="http://schemas.openxmlformats.org/officeDocument/2006/relationships/hyperlink" Target="https://success.coupa.com/Implement/Best_Practices/Account_Structure" TargetMode="External"/><Relationship Id="rId10" Type="http://schemas.openxmlformats.org/officeDocument/2006/relationships/hyperlink" Target="https://success.coupa.com/Implement/Best_Practices/Implementing_Budg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Implement/Best_Practices/Implementation_Op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2020-03-31T06:05:00Z</dcterms:created>
  <dcterms:modified xsi:type="dcterms:W3CDTF">2020-03-31T06:06:00Z</dcterms:modified>
</cp:coreProperties>
</file>