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この</w:t>
      </w:r>
      <w:r w:rsidRPr="00341C20">
        <w:rPr>
          <w:rFonts w:ascii="Arial" w:eastAsia="宋体" w:hAnsi="Arial" w:cs="Arial"/>
          <w:kern w:val="0"/>
          <w:sz w:val="24"/>
          <w:szCs w:val="24"/>
        </w:rPr>
        <w:t>integrate.c</w:t>
      </w:r>
      <w:bookmarkStart w:id="0" w:name="_GoBack"/>
      <w:bookmarkEnd w:id="0"/>
      <w:r w:rsidRPr="00341C20">
        <w:rPr>
          <w:rFonts w:ascii="Arial" w:eastAsia="宋体" w:hAnsi="Arial" w:cs="Arial"/>
          <w:kern w:val="0"/>
          <w:sz w:val="24"/>
          <w:szCs w:val="24"/>
        </w:rPr>
        <w:t>oupa.com</w:t>
      </w:r>
      <w:r w:rsidRPr="00341C20">
        <w:rPr>
          <w:rFonts w:ascii="Arial" w:eastAsia="宋体" w:hAnsi="Arial" w:cs="Arial"/>
          <w:kern w:val="0"/>
          <w:sz w:val="24"/>
          <w:szCs w:val="24"/>
        </w:rPr>
        <w:t>のセクションでは、</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との統合におけるベスト</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プラクティスと考慮事項について、クライアントが理解するのに役立ちます。通常、当社のお客様は次のいずれかの方法を使用します。</w:t>
      </w:r>
    </w:p>
    <w:p w:rsidR="00341C20" w:rsidRPr="00341C20" w:rsidRDefault="00341C20" w:rsidP="00341C20">
      <w:pPr>
        <w:widowControl/>
        <w:numPr>
          <w:ilvl w:val="0"/>
          <w:numId w:val="1"/>
        </w:numPr>
        <w:spacing w:before="60" w:after="60"/>
        <w:ind w:left="240"/>
        <w:jc w:val="left"/>
        <w:rPr>
          <w:rFonts w:ascii="Arial" w:eastAsia="宋体" w:hAnsi="Arial" w:cs="Arial"/>
          <w:kern w:val="0"/>
          <w:sz w:val="24"/>
          <w:szCs w:val="24"/>
        </w:rPr>
      </w:pPr>
      <w:r w:rsidRPr="00341C20">
        <w:rPr>
          <w:rFonts w:ascii="Arial" w:eastAsia="宋体" w:hAnsi="Arial" w:cs="Arial"/>
          <w:b/>
          <w:bCs/>
          <w:kern w:val="0"/>
          <w:sz w:val="24"/>
          <w:szCs w:val="24"/>
        </w:rPr>
        <w:t>標準フラットファイル</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標準ファイル形式は、通常、</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と</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の間で統合されたすべてのマスタおよびトランザクションデータオブジェクトで使用できます。</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の形式と</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に必要な形式の間で翻訳できるリソースを持っているお客様が活用できます。</w:t>
      </w:r>
    </w:p>
    <w:p w:rsidR="00341C20" w:rsidRPr="00341C20" w:rsidRDefault="00341C20" w:rsidP="00341C20">
      <w:pPr>
        <w:widowControl/>
        <w:numPr>
          <w:ilvl w:val="0"/>
          <w:numId w:val="1"/>
        </w:numPr>
        <w:spacing w:before="60" w:after="60"/>
        <w:ind w:left="240"/>
        <w:jc w:val="left"/>
        <w:rPr>
          <w:rFonts w:ascii="Arial" w:eastAsia="宋体" w:hAnsi="Arial" w:cs="Arial"/>
          <w:kern w:val="0"/>
          <w:sz w:val="24"/>
          <w:szCs w:val="24"/>
        </w:rPr>
      </w:pPr>
      <w:r w:rsidRPr="00341C20">
        <w:rPr>
          <w:rFonts w:ascii="Arial" w:eastAsia="宋体" w:hAnsi="Arial" w:cs="Arial"/>
          <w:b/>
          <w:bCs/>
          <w:kern w:val="0"/>
          <w:sz w:val="24"/>
          <w:szCs w:val="24"/>
        </w:rPr>
        <w:t>Coupa API</w:t>
      </w:r>
      <w:r w:rsidRPr="00341C20">
        <w:rPr>
          <w:rFonts w:ascii="Arial" w:eastAsia="宋体" w:hAnsi="Arial" w:cs="Arial"/>
          <w:kern w:val="0"/>
          <w:sz w:val="24"/>
          <w:szCs w:val="24"/>
        </w:rPr>
        <w:t xml:space="preserve"> - </w:t>
      </w:r>
      <w:r w:rsidRPr="00341C20">
        <w:rPr>
          <w:rFonts w:ascii="Arial" w:eastAsia="宋体" w:hAnsi="Arial" w:cs="Arial"/>
          <w:kern w:val="0"/>
          <w:sz w:val="24"/>
          <w:szCs w:val="24"/>
        </w:rPr>
        <w:t>当社の標準</w:t>
      </w:r>
      <w:r w:rsidRPr="00341C20">
        <w:rPr>
          <w:rFonts w:ascii="Arial" w:eastAsia="宋体" w:hAnsi="Arial" w:cs="Arial"/>
          <w:kern w:val="0"/>
          <w:sz w:val="24"/>
          <w:szCs w:val="24"/>
        </w:rPr>
        <w:t xml:space="preserve"> REST </w:t>
      </w:r>
      <w:r w:rsidRPr="00341C20">
        <w:rPr>
          <w:rFonts w:ascii="Arial" w:eastAsia="宋体" w:hAnsi="Arial" w:cs="Arial"/>
          <w:kern w:val="0"/>
          <w:sz w:val="24"/>
          <w:szCs w:val="24"/>
        </w:rPr>
        <w:t>ベースの</w:t>
      </w:r>
      <w:r w:rsidRPr="00341C20">
        <w:rPr>
          <w:rFonts w:ascii="Arial" w:eastAsia="宋体" w:hAnsi="Arial" w:cs="Arial"/>
          <w:kern w:val="0"/>
          <w:sz w:val="24"/>
          <w:szCs w:val="24"/>
        </w:rPr>
        <w:t xml:space="preserve"> API </w:t>
      </w:r>
      <w:r w:rsidRPr="00341C20">
        <w:rPr>
          <w:rFonts w:ascii="Arial" w:eastAsia="宋体" w:hAnsi="Arial" w:cs="Arial"/>
          <w:kern w:val="0"/>
          <w:sz w:val="24"/>
          <w:szCs w:val="24"/>
        </w:rPr>
        <w:t>は、より高度な統合を実装したいお客様が使用できます。これは、</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と</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の統合を調整するために利用可能なミドルウェア</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プラットフォームとリソースを使用する顧客に共通のアプローチです。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多くのお客様が統合方法を組み合わせて組み合わせ、統合に最適なモデルを提供します。たとえば、受信マスタデータに標準のフラットファイル形式を使用し、送信トランザクションに</w:t>
      </w:r>
      <w:r w:rsidRPr="00341C20">
        <w:rPr>
          <w:rFonts w:ascii="Arial" w:eastAsia="宋体" w:hAnsi="Arial" w:cs="Arial"/>
          <w:kern w:val="0"/>
          <w:sz w:val="24"/>
          <w:szCs w:val="24"/>
        </w:rPr>
        <w:t xml:space="preserve"> API </w:t>
      </w:r>
      <w:r w:rsidRPr="00341C20">
        <w:rPr>
          <w:rFonts w:ascii="Arial" w:eastAsia="宋体" w:hAnsi="Arial" w:cs="Arial"/>
          <w:kern w:val="0"/>
          <w:sz w:val="24"/>
          <w:szCs w:val="24"/>
        </w:rPr>
        <w:t>の柔軟性を利用できます。選択された方法は顧客によって異なり、</w:t>
      </w:r>
      <w:r w:rsidRPr="00341C20">
        <w:rPr>
          <w:rFonts w:ascii="Arial" w:eastAsia="宋体" w:hAnsi="Arial" w:cs="Arial"/>
          <w:kern w:val="0"/>
          <w:sz w:val="24"/>
          <w:szCs w:val="24"/>
        </w:rPr>
        <w:t>Coupa</w:t>
      </w:r>
      <w:r w:rsidRPr="00341C20">
        <w:rPr>
          <w:rFonts w:ascii="Arial" w:eastAsia="宋体" w:hAnsi="Arial" w:cs="Arial"/>
          <w:kern w:val="0"/>
          <w:sz w:val="24"/>
          <w:szCs w:val="24"/>
        </w:rPr>
        <w:t>は実装プロセスの一部としてガイダンスを提供します。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どちらの方法を選択しても、</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インスタンスのデータを適切にモデル化して、</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のビジネスプロセスを適切にサポートすることが非常に重要です。以下のセクションは、これらの重要な決定を考え始めるうえで役立ちます。</w:t>
      </w:r>
      <w:r w:rsidRPr="00341C20">
        <w:rPr>
          <w:rFonts w:ascii="Arial" w:eastAsia="宋体" w:hAnsi="Arial" w:cs="Arial"/>
          <w:kern w:val="0"/>
          <w:sz w:val="24"/>
          <w:szCs w:val="24"/>
        </w:rPr>
        <w:t xml:space="preserve"> </w:t>
      </w:r>
    </w:p>
    <w:p w:rsidR="00341C20" w:rsidRPr="00341C20" w:rsidRDefault="00341C20" w:rsidP="00341C20">
      <w:pPr>
        <w:widowControl/>
        <w:numPr>
          <w:ilvl w:val="0"/>
          <w:numId w:val="2"/>
        </w:numPr>
        <w:spacing w:before="60" w:after="60"/>
        <w:ind w:left="240"/>
        <w:jc w:val="left"/>
        <w:rPr>
          <w:rFonts w:ascii="Arial" w:eastAsia="宋体" w:hAnsi="Arial" w:cs="Arial"/>
          <w:kern w:val="0"/>
          <w:sz w:val="24"/>
          <w:szCs w:val="24"/>
        </w:rPr>
      </w:pPr>
      <w:hyperlink r:id="rId5" w:tooltip="Company Codes, Cost Centers, and GL Account Code Combinations from SAP to Coupa" w:history="1">
        <w:r w:rsidRPr="00341C20">
          <w:rPr>
            <w:rFonts w:ascii="Arial" w:eastAsia="宋体" w:hAnsi="Arial" w:cs="Arial"/>
            <w:kern w:val="0"/>
            <w:sz w:val="24"/>
            <w:szCs w:val="24"/>
            <w:u w:val="single"/>
          </w:rPr>
          <w:t xml:space="preserve">SAP </w:t>
        </w:r>
        <w:r w:rsidRPr="00341C20">
          <w:rPr>
            <w:rFonts w:ascii="Arial" w:eastAsia="宋体" w:hAnsi="Arial" w:cs="Arial"/>
            <w:kern w:val="0"/>
            <w:sz w:val="24"/>
            <w:szCs w:val="24"/>
            <w:u w:val="single"/>
          </w:rPr>
          <w:t>からクーパへの会計データ</w:t>
        </w:r>
      </w:hyperlink>
    </w:p>
    <w:p w:rsidR="00341C20" w:rsidRPr="00341C20" w:rsidRDefault="00341C20" w:rsidP="00341C20">
      <w:pPr>
        <w:widowControl/>
        <w:numPr>
          <w:ilvl w:val="0"/>
          <w:numId w:val="2"/>
        </w:numPr>
        <w:spacing w:before="60" w:after="60"/>
        <w:ind w:left="240"/>
        <w:jc w:val="left"/>
        <w:rPr>
          <w:rFonts w:ascii="Arial" w:eastAsia="宋体" w:hAnsi="Arial" w:cs="Arial"/>
          <w:kern w:val="0"/>
          <w:sz w:val="24"/>
          <w:szCs w:val="24"/>
        </w:rPr>
      </w:pPr>
      <w:hyperlink r:id="rId6" w:tooltip="Vendors from SAP to Coupa" w:history="1">
        <w:r w:rsidRPr="00341C20">
          <w:rPr>
            <w:rFonts w:ascii="Arial" w:eastAsia="宋体" w:hAnsi="Arial" w:cs="Arial"/>
            <w:kern w:val="0"/>
            <w:sz w:val="24"/>
            <w:szCs w:val="24"/>
            <w:u w:val="single"/>
          </w:rPr>
          <w:t xml:space="preserve">SAP </w:t>
        </w:r>
        <w:r w:rsidRPr="00341C20">
          <w:rPr>
            <w:rFonts w:ascii="Arial" w:eastAsia="宋体" w:hAnsi="Arial" w:cs="Arial"/>
            <w:kern w:val="0"/>
            <w:sz w:val="24"/>
            <w:szCs w:val="24"/>
            <w:u w:val="single"/>
          </w:rPr>
          <w:t>からクーパへの仕入先</w:t>
        </w:r>
      </w:hyperlink>
    </w:p>
    <w:p w:rsidR="00341C20" w:rsidRPr="00341C20" w:rsidRDefault="00341C20" w:rsidP="00341C20">
      <w:pPr>
        <w:widowControl/>
        <w:numPr>
          <w:ilvl w:val="0"/>
          <w:numId w:val="2"/>
        </w:numPr>
        <w:spacing w:before="60" w:after="60"/>
        <w:ind w:left="240"/>
        <w:jc w:val="left"/>
        <w:rPr>
          <w:rFonts w:ascii="Arial" w:eastAsia="宋体" w:hAnsi="Arial" w:cs="Arial"/>
          <w:kern w:val="0"/>
          <w:sz w:val="24"/>
          <w:szCs w:val="24"/>
        </w:rPr>
      </w:pPr>
      <w:hyperlink r:id="rId7" w:tooltip="Users/Approvers from SAP to Coupa" w:history="1">
        <w:r w:rsidRPr="00341C20">
          <w:rPr>
            <w:rFonts w:ascii="Arial" w:eastAsia="宋体" w:hAnsi="Arial" w:cs="Arial"/>
            <w:kern w:val="0"/>
            <w:sz w:val="24"/>
            <w:szCs w:val="24"/>
            <w:u w:val="single"/>
          </w:rPr>
          <w:t xml:space="preserve">SAP </w:t>
        </w:r>
        <w:r w:rsidRPr="00341C20">
          <w:rPr>
            <w:rFonts w:ascii="Arial" w:eastAsia="宋体" w:hAnsi="Arial" w:cs="Arial"/>
            <w:kern w:val="0"/>
            <w:sz w:val="24"/>
            <w:szCs w:val="24"/>
            <w:u w:val="single"/>
          </w:rPr>
          <w:t>からクーパへのユーザー</w:t>
        </w:r>
        <w:r w:rsidRPr="00341C20">
          <w:rPr>
            <w:rFonts w:ascii="Arial" w:eastAsia="宋体" w:hAnsi="Arial" w:cs="Arial"/>
            <w:kern w:val="0"/>
            <w:sz w:val="24"/>
            <w:szCs w:val="24"/>
            <w:u w:val="single"/>
          </w:rPr>
          <w:t>/</w:t>
        </w:r>
        <w:r w:rsidRPr="00341C20">
          <w:rPr>
            <w:rFonts w:ascii="Arial" w:eastAsia="宋体" w:hAnsi="Arial" w:cs="Arial"/>
            <w:kern w:val="0"/>
            <w:sz w:val="24"/>
            <w:szCs w:val="24"/>
            <w:u w:val="single"/>
          </w:rPr>
          <w:t>従業員</w:t>
        </w:r>
      </w:hyperlink>
    </w:p>
    <w:p w:rsidR="00341C20" w:rsidRPr="00341C20" w:rsidRDefault="00341C20" w:rsidP="00341C20">
      <w:pPr>
        <w:widowControl/>
        <w:numPr>
          <w:ilvl w:val="0"/>
          <w:numId w:val="2"/>
        </w:numPr>
        <w:spacing w:before="60" w:after="60"/>
        <w:ind w:left="240"/>
        <w:jc w:val="left"/>
        <w:rPr>
          <w:rFonts w:ascii="Arial" w:eastAsia="宋体" w:hAnsi="Arial" w:cs="Arial"/>
          <w:kern w:val="0"/>
          <w:sz w:val="24"/>
          <w:szCs w:val="24"/>
        </w:rPr>
      </w:pPr>
      <w:hyperlink r:id="rId8" w:tooltip="https://success.coupa.com/Integrate/ERP_Playbooks/SAP/Accruals_from_Coupa_to_SAP" w:history="1">
        <w:r w:rsidRPr="00341C20">
          <w:rPr>
            <w:rFonts w:ascii="Arial" w:eastAsia="宋体" w:hAnsi="Arial" w:cs="Arial"/>
            <w:kern w:val="0"/>
            <w:sz w:val="24"/>
            <w:szCs w:val="24"/>
            <w:u w:val="single"/>
          </w:rPr>
          <w:t>クーパから</w:t>
        </w:r>
        <w:r w:rsidRPr="00341C20">
          <w:rPr>
            <w:rFonts w:ascii="Arial" w:eastAsia="宋体" w:hAnsi="Arial" w:cs="Arial"/>
            <w:kern w:val="0"/>
            <w:sz w:val="24"/>
            <w:szCs w:val="24"/>
            <w:u w:val="single"/>
          </w:rPr>
          <w:t xml:space="preserve"> SAP </w:t>
        </w:r>
        <w:r w:rsidRPr="00341C20">
          <w:rPr>
            <w:rFonts w:ascii="Arial" w:eastAsia="宋体" w:hAnsi="Arial" w:cs="Arial"/>
            <w:kern w:val="0"/>
            <w:sz w:val="24"/>
            <w:szCs w:val="24"/>
            <w:u w:val="single"/>
          </w:rPr>
          <w:t>への見越計上</w:t>
        </w:r>
      </w:hyperlink>
    </w:p>
    <w:p w:rsidR="00341C20" w:rsidRPr="00341C20" w:rsidRDefault="00341C20" w:rsidP="00341C20">
      <w:pPr>
        <w:widowControl/>
        <w:jc w:val="left"/>
        <w:outlineLvl w:val="1"/>
        <w:rPr>
          <w:rFonts w:ascii="Arial" w:eastAsia="宋体" w:hAnsi="Arial" w:cs="Arial"/>
          <w:kern w:val="0"/>
          <w:sz w:val="36"/>
          <w:szCs w:val="36"/>
        </w:rPr>
      </w:pPr>
      <w:r w:rsidRPr="00341C20">
        <w:rPr>
          <w:rFonts w:ascii="Arial" w:eastAsia="宋体" w:hAnsi="Arial" w:cs="Arial"/>
          <w:kern w:val="0"/>
          <w:sz w:val="36"/>
          <w:szCs w:val="36"/>
        </w:rPr>
        <w:t>見越</w:t>
      </w:r>
    </w:p>
    <w:p w:rsidR="00341C20" w:rsidRPr="00341C20" w:rsidRDefault="00341C20" w:rsidP="00341C20">
      <w:pPr>
        <w:pStyle w:val="a8"/>
      </w:pPr>
      <w:r w:rsidRPr="00341C20">
        <w:t>この記事では、毎日の見越計上エントリを管理し、毎日の発生処理の一環としてこれらのエントリを自動化するためにトランザクション情報を交換する必要がある顧客に対する参照ポイントを提供します。このようなユースケースでは、Coupa からの送信ファイル フィードは、見越計上を作成する領収書と、取消を作成する請求書になります。顧客は、これらのトランザクションを適切な見越調整に変換するために、ミドルウェアでプロセスを所有し、開発する必要があります。</w:t>
      </w:r>
      <w:r w:rsidRPr="00341C20">
        <w:rPr>
          <w:i/>
          <w:iCs/>
        </w:rPr>
        <w:t>SAP 統合のプレイブック</w:t>
      </w:r>
      <w:r w:rsidRPr="00341C20">
        <w:t>で、領収書と請求書オブジェクトの詳細を参照してください。毎月見越計上を実行する顧客の場合、Coupa からの見越計上レポートのエクスポートがより適切なアプローチです。レポートは、インスタンスの</w:t>
      </w:r>
      <w:r w:rsidRPr="00341C20">
        <w:rPr>
          <w:b/>
          <w:bCs/>
        </w:rPr>
        <w:t>[セットアップ レポート]</w:t>
      </w:r>
      <w:r w:rsidRPr="00341C20">
        <w:t>で確認できます。</w:t>
      </w:r>
    </w:p>
    <w:p w:rsidR="00341C20" w:rsidRPr="00341C20" w:rsidRDefault="00341C20" w:rsidP="00341C20">
      <w:pPr>
        <w:pStyle w:val="a8"/>
      </w:pPr>
      <w:r w:rsidRPr="00341C20">
        <w:t> </w:t>
      </w:r>
    </w:p>
    <w:p w:rsidR="00341C20" w:rsidRPr="00341C20" w:rsidRDefault="00341C20" w:rsidP="00341C20">
      <w:pPr>
        <w:pStyle w:val="a8"/>
      </w:pPr>
    </w:p>
    <w:p w:rsidR="00341C20" w:rsidRPr="00341C20" w:rsidRDefault="00341C20" w:rsidP="00341C20">
      <w:pPr>
        <w:pStyle w:val="a8"/>
        <w:rPr>
          <w:sz w:val="20"/>
          <w:szCs w:val="20"/>
        </w:rPr>
      </w:pPr>
      <w:r w:rsidRPr="00341C20">
        <w:rPr>
          <w:sz w:val="20"/>
          <w:szCs w:val="20"/>
        </w:rPr>
        <w:t>1. アイテム/サービスを受け取ったユーザーがクーパに領収書を入力したとき</w:t>
      </w:r>
    </w:p>
    <w:p w:rsidR="00341C20" w:rsidRPr="00341C20" w:rsidRDefault="00341C20" w:rsidP="00341C20">
      <w:pPr>
        <w:pStyle w:val="a8"/>
        <w:rPr>
          <w:sz w:val="20"/>
          <w:szCs w:val="20"/>
        </w:rPr>
      </w:pPr>
      <w:r w:rsidRPr="00341C20">
        <w:rPr>
          <w:sz w:val="20"/>
          <w:szCs w:val="20"/>
        </w:rPr>
        <w:t>2. 入庫アウトバウンド統合は、定期的にスケジュールされたケイデンスで実行されます。こ</w:t>
      </w:r>
      <w:r w:rsidRPr="00341C20">
        <w:rPr>
          <w:sz w:val="20"/>
          <w:szCs w:val="20"/>
        </w:rPr>
        <w:lastRenderedPageBreak/>
        <w:t>の間、SAP で 2 つの自動仕訳入力が行われます。</w:t>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pStyle w:val="a8"/>
        <w:rPr>
          <w:sz w:val="20"/>
          <w:szCs w:val="20"/>
        </w:rPr>
      </w:pPr>
      <w:r w:rsidRPr="00341C20">
        <w:rPr>
          <w:sz w:val="20"/>
          <w:szCs w:val="20"/>
        </w:rPr>
        <w:t>a. 借方: 名目および原価中心の PO データに応じて P&amp;L</w:t>
      </w:r>
    </w:p>
    <w:p w:rsidR="00341C20" w:rsidRPr="00341C20" w:rsidRDefault="00341C20" w:rsidP="00341C20">
      <w:pPr>
        <w:pStyle w:val="a8"/>
        <w:rPr>
          <w:sz w:val="20"/>
          <w:szCs w:val="20"/>
        </w:rPr>
      </w:pPr>
      <w:r w:rsidRPr="00341C20">
        <w:rPr>
          <w:sz w:val="20"/>
          <w:szCs w:val="20"/>
        </w:rPr>
        <w:t>b. 貸方: 貸借対照表 - 未請求入庫済商品の見越計上 (GRNI)</w:t>
      </w:r>
    </w:p>
    <w:p w:rsidR="00341C20" w:rsidRPr="00341C20" w:rsidRDefault="00341C20" w:rsidP="00341C20">
      <w:pPr>
        <w:pStyle w:val="a8"/>
        <w:rPr>
          <w:sz w:val="20"/>
          <w:szCs w:val="20"/>
        </w:rPr>
      </w:pPr>
      <w:r w:rsidRPr="00341C20">
        <w:rPr>
          <w:sz w:val="20"/>
          <w:szCs w:val="20"/>
        </w:rPr>
        <w:t>c. 例:</w:t>
      </w:r>
    </w:p>
    <w:p w:rsidR="00341C20" w:rsidRPr="00341C20" w:rsidRDefault="00341C20" w:rsidP="00341C20">
      <w:pPr>
        <w:pStyle w:val="a8"/>
      </w:pPr>
      <w:r w:rsidRPr="00341C20">
        <w:t> </w:t>
      </w:r>
    </w:p>
    <w:p w:rsidR="00341C20" w:rsidRPr="00341C20" w:rsidRDefault="00341C20" w:rsidP="00341C20">
      <w:pPr>
        <w:pStyle w:val="a8"/>
      </w:pPr>
      <w:r w:rsidRPr="00341C20">
        <w:t xml:space="preserve">                                               </w:t>
      </w:r>
      <w:r w:rsidRPr="00341C20">
        <w:rPr>
          <w:noProof/>
        </w:rPr>
        <w:drawing>
          <wp:inline distT="0" distB="0" distL="0" distR="0" wp14:anchorId="75622C78" wp14:editId="5250F4B9">
            <wp:extent cx="4754880" cy="1211580"/>
            <wp:effectExtent l="0" t="0" r="7620" b="7620"/>
            <wp:docPr id="3" name="图片 3" descr="Screen Shot 2018-03-08 at 4.44.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8-03-08 at 4.44.1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4880" cy="1211580"/>
                    </a:xfrm>
                    <a:prstGeom prst="rect">
                      <a:avLst/>
                    </a:prstGeom>
                    <a:noFill/>
                    <a:ln>
                      <a:noFill/>
                    </a:ln>
                  </pic:spPr>
                </pic:pic>
              </a:graphicData>
            </a:graphic>
          </wp:inline>
        </w:drawing>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pStyle w:val="a8"/>
        <w:rPr>
          <w:sz w:val="20"/>
          <w:szCs w:val="20"/>
        </w:rPr>
      </w:pPr>
      <w:r w:rsidRPr="00341C20">
        <w:rPr>
          <w:sz w:val="20"/>
          <w:szCs w:val="20"/>
        </w:rPr>
        <w:t>3. 請求書は、定期的にスケジュールされたケイデンスで SAP に処理され、送信されます。支払の間に、SAP で 2 つの自動仕訳入力が行われます。</w:t>
      </w:r>
    </w:p>
    <w:p w:rsidR="00341C20" w:rsidRPr="00341C20" w:rsidRDefault="00341C20" w:rsidP="00341C20">
      <w:pPr>
        <w:pStyle w:val="a8"/>
      </w:pPr>
      <w:r w:rsidRPr="00341C20">
        <w:t> </w:t>
      </w:r>
    </w:p>
    <w:p w:rsidR="00341C20" w:rsidRPr="00341C20" w:rsidRDefault="00341C20" w:rsidP="00341C20">
      <w:pPr>
        <w:pStyle w:val="a8"/>
        <w:rPr>
          <w:sz w:val="20"/>
          <w:szCs w:val="20"/>
        </w:rPr>
      </w:pPr>
      <w:r w:rsidRPr="00341C20">
        <w:rPr>
          <w:sz w:val="20"/>
          <w:szCs w:val="20"/>
        </w:rPr>
        <w:t>a. 借方: 貸借対照表 - GRNI 見越 - 発注書番号を引用する</w:t>
      </w:r>
    </w:p>
    <w:p w:rsidR="00341C20" w:rsidRPr="00341C20" w:rsidRDefault="00341C20" w:rsidP="00341C20">
      <w:pPr>
        <w:pStyle w:val="a8"/>
        <w:rPr>
          <w:sz w:val="20"/>
          <w:szCs w:val="20"/>
        </w:rPr>
      </w:pPr>
      <w:r w:rsidRPr="00341C20">
        <w:rPr>
          <w:sz w:val="20"/>
          <w:szCs w:val="20"/>
        </w:rPr>
        <w:t>b. クレジット: 仕入先勘定 - 支払条件で支払われます</w:t>
      </w:r>
    </w:p>
    <w:p w:rsidR="00341C20" w:rsidRPr="00341C20" w:rsidRDefault="00341C20" w:rsidP="00341C20">
      <w:pPr>
        <w:pStyle w:val="a8"/>
        <w:rPr>
          <w:sz w:val="20"/>
          <w:szCs w:val="20"/>
        </w:rPr>
      </w:pPr>
      <w:r w:rsidRPr="00341C20">
        <w:rPr>
          <w:sz w:val="20"/>
          <w:szCs w:val="20"/>
        </w:rPr>
        <w:t>c. 例:</w:t>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pStyle w:val="a8"/>
      </w:pPr>
      <w:r w:rsidRPr="00341C20">
        <w:t> </w:t>
      </w:r>
    </w:p>
    <w:p w:rsidR="00341C20" w:rsidRPr="00341C20" w:rsidRDefault="00341C20" w:rsidP="00341C20">
      <w:pPr>
        <w:pStyle w:val="a8"/>
        <w:rPr>
          <w:sz w:val="20"/>
          <w:szCs w:val="20"/>
        </w:rPr>
      </w:pPr>
      <w:r w:rsidRPr="00341C20">
        <w:rPr>
          <w:sz w:val="20"/>
          <w:szCs w:val="20"/>
        </w:rPr>
        <w:t xml:space="preserve">                                             </w:t>
      </w:r>
      <w:r w:rsidRPr="00341C20">
        <w:rPr>
          <w:noProof/>
        </w:rPr>
        <w:drawing>
          <wp:inline distT="0" distB="0" distL="0" distR="0" wp14:anchorId="06C9443D" wp14:editId="724B8244">
            <wp:extent cx="4983480" cy="624840"/>
            <wp:effectExtent l="0" t="0" r="7620" b="3810"/>
            <wp:docPr id="2" name="图片 2" descr="Screen Shot 2018-03-08 at 4.5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8-03-08 at 4.54.1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624840"/>
                    </a:xfrm>
                    <a:prstGeom prst="rect">
                      <a:avLst/>
                    </a:prstGeom>
                    <a:noFill/>
                    <a:ln>
                      <a:noFill/>
                    </a:ln>
                  </pic:spPr>
                </pic:pic>
              </a:graphicData>
            </a:graphic>
          </wp:inline>
        </w:drawing>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pStyle w:val="a8"/>
        <w:rPr>
          <w:sz w:val="20"/>
          <w:szCs w:val="20"/>
        </w:rPr>
      </w:pPr>
      <w:r w:rsidRPr="00341C20">
        <w:rPr>
          <w:sz w:val="20"/>
          <w:szCs w:val="20"/>
        </w:rPr>
        <w:t>4. これにより、残りの金額は、請求および借方記入されるまで貸借対照表に残ります</w:t>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pStyle w:val="a8"/>
        <w:rPr>
          <w:sz w:val="20"/>
          <w:szCs w:val="20"/>
        </w:rPr>
      </w:pPr>
      <w:r w:rsidRPr="00341C20">
        <w:rPr>
          <w:sz w:val="20"/>
          <w:szCs w:val="20"/>
        </w:rPr>
        <w:t>a. 例:</w:t>
      </w:r>
    </w:p>
    <w:p w:rsidR="00341C20" w:rsidRPr="00341C20" w:rsidRDefault="00341C20" w:rsidP="00341C20">
      <w:pPr>
        <w:pStyle w:val="a8"/>
      </w:pPr>
      <w:r w:rsidRPr="00341C20">
        <w:rPr>
          <w:noProof/>
        </w:rPr>
        <w:drawing>
          <wp:inline distT="0" distB="0" distL="0" distR="0" wp14:anchorId="55D16E0D" wp14:editId="5E77D298">
            <wp:extent cx="5113020" cy="708660"/>
            <wp:effectExtent l="0" t="0" r="0" b="0"/>
            <wp:docPr id="1" name="图片 1" descr="Screen Shot 2018-03-09 at 1.1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8-03-09 at 1.12.11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3020" cy="708660"/>
                    </a:xfrm>
                    <a:prstGeom prst="rect">
                      <a:avLst/>
                    </a:prstGeom>
                    <a:noFill/>
                    <a:ln>
                      <a:noFill/>
                    </a:ln>
                  </pic:spPr>
                </pic:pic>
              </a:graphicData>
            </a:graphic>
          </wp:inline>
        </w:drawing>
      </w:r>
    </w:p>
    <w:p w:rsidR="00341C20" w:rsidRPr="00341C20" w:rsidRDefault="00341C20" w:rsidP="00341C20">
      <w:pPr>
        <w:pStyle w:val="a8"/>
      </w:pPr>
      <w:r w:rsidRPr="00341C20">
        <w:t> </w:t>
      </w:r>
    </w:p>
    <w:p w:rsidR="00341C20" w:rsidRPr="00341C20" w:rsidRDefault="00341C20" w:rsidP="00341C20">
      <w:pPr>
        <w:pStyle w:val="a8"/>
        <w:rPr>
          <w:sz w:val="20"/>
          <w:szCs w:val="20"/>
        </w:rPr>
      </w:pPr>
      <w:r w:rsidRPr="00341C20">
        <w:rPr>
          <w:sz w:val="20"/>
          <w:szCs w:val="20"/>
        </w:rPr>
        <w:t>5. 購買番号は、請求書と入庫の間の共通参照値として使用できます (PO は独立オブジェクトとして SAP に送信されません)。</w:t>
      </w:r>
    </w:p>
    <w:p w:rsidR="00341C20" w:rsidRPr="00341C20" w:rsidRDefault="00341C20" w:rsidP="00341C20">
      <w:pPr>
        <w:pStyle w:val="a8"/>
        <w:rPr>
          <w:sz w:val="20"/>
          <w:szCs w:val="20"/>
        </w:rPr>
      </w:pPr>
      <w:r w:rsidRPr="00341C20">
        <w:rPr>
          <w:sz w:val="20"/>
          <w:szCs w:val="20"/>
        </w:rPr>
        <w:t>6. 請求書が PO 金額を超える価格を引き上げた場合、請求金額は顧客のミドルウェアを通じて次のように配分されます。</w:t>
      </w:r>
    </w:p>
    <w:p w:rsidR="00341C20" w:rsidRPr="00341C20" w:rsidRDefault="00341C20" w:rsidP="00341C20">
      <w:pPr>
        <w:pStyle w:val="a8"/>
        <w:rPr>
          <w:sz w:val="20"/>
          <w:szCs w:val="20"/>
        </w:rPr>
      </w:pPr>
      <w:r w:rsidRPr="00341C20">
        <w:rPr>
          <w:sz w:val="20"/>
          <w:szCs w:val="20"/>
        </w:rPr>
        <w:t>a. 発注書金額が貸借対照表に転記されます - 見越計上金額を決済します</w:t>
      </w:r>
    </w:p>
    <w:p w:rsidR="00341C20" w:rsidRPr="00341C20" w:rsidRDefault="00341C20" w:rsidP="00341C20">
      <w:pPr>
        <w:pStyle w:val="a8"/>
        <w:rPr>
          <w:sz w:val="20"/>
          <w:szCs w:val="20"/>
        </w:rPr>
      </w:pPr>
      <w:r w:rsidRPr="00341C20">
        <w:rPr>
          <w:sz w:val="20"/>
          <w:szCs w:val="20"/>
        </w:rPr>
        <w:t>b. 発注書金額を下回る請求金額 (追加請求金額) が、元の発注書がコード化された P&amp;L に転</w:t>
      </w:r>
      <w:r w:rsidRPr="00341C20">
        <w:rPr>
          <w:sz w:val="20"/>
          <w:szCs w:val="20"/>
        </w:rPr>
        <w:lastRenderedPageBreak/>
        <w:t>記されます。</w:t>
      </w:r>
    </w:p>
    <w:p w:rsidR="00341C20" w:rsidRPr="00341C20" w:rsidRDefault="00341C20" w:rsidP="00341C20">
      <w:pPr>
        <w:pStyle w:val="a8"/>
        <w:rPr>
          <w:sz w:val="20"/>
          <w:szCs w:val="20"/>
        </w:rPr>
      </w:pPr>
      <w:r w:rsidRPr="00341C20">
        <w:rPr>
          <w:sz w:val="20"/>
          <w:szCs w:val="20"/>
        </w:rPr>
        <w:t>7. 料金プロセスの配布は、顧客のミドルウェアロジックを介して統合層で自動化する必要があります。</w:t>
      </w:r>
    </w:p>
    <w:p w:rsidR="00341C20" w:rsidRPr="00341C20" w:rsidRDefault="00341C20" w:rsidP="00341C20">
      <w:pPr>
        <w:pStyle w:val="a8"/>
        <w:rPr>
          <w:sz w:val="20"/>
          <w:szCs w:val="20"/>
        </w:rPr>
      </w:pPr>
      <w:r w:rsidRPr="00341C20">
        <w:rPr>
          <w:sz w:val="20"/>
          <w:szCs w:val="20"/>
        </w:rPr>
        <w:t> </w:t>
      </w:r>
    </w:p>
    <w:p w:rsidR="00341C20" w:rsidRPr="00341C20" w:rsidRDefault="00341C20" w:rsidP="00341C20">
      <w:pPr>
        <w:widowControl/>
        <w:textAlignment w:val="baseline"/>
        <w:rPr>
          <w:rFonts w:ascii="Arial" w:eastAsia="宋体" w:hAnsi="Arial" w:cs="Arial"/>
          <w:kern w:val="0"/>
          <w:sz w:val="20"/>
          <w:szCs w:val="20"/>
        </w:rPr>
      </w:pPr>
      <w:r w:rsidRPr="00341C20">
        <w:rPr>
          <w:rFonts w:ascii="Arial" w:eastAsia="宋体" w:hAnsi="Arial" w:cs="Arial"/>
          <w:kern w:val="0"/>
          <w:sz w:val="20"/>
          <w:szCs w:val="20"/>
        </w:rPr>
        <w:t xml:space="preserve">SAP </w:t>
      </w:r>
      <w:r w:rsidRPr="00341C20">
        <w:rPr>
          <w:rFonts w:ascii="Arial" w:eastAsia="宋体" w:hAnsi="Arial" w:cs="Arial"/>
          <w:kern w:val="0"/>
          <w:sz w:val="20"/>
          <w:szCs w:val="20"/>
        </w:rPr>
        <w:t>に記載されている見越計上は、提供された見越報告書に対して定期的に相互参照され、</w:t>
      </w:r>
      <w:r w:rsidRPr="00341C20">
        <w:rPr>
          <w:rFonts w:ascii="Arial" w:eastAsia="宋体" w:hAnsi="Arial" w:cs="Arial"/>
          <w:kern w:val="0"/>
          <w:sz w:val="20"/>
          <w:szCs w:val="20"/>
        </w:rPr>
        <w:t xml:space="preserve">Coupa </w:t>
      </w:r>
      <w:r w:rsidRPr="00341C20">
        <w:rPr>
          <w:rFonts w:ascii="Arial" w:eastAsia="宋体" w:hAnsi="Arial" w:cs="Arial"/>
          <w:kern w:val="0"/>
          <w:sz w:val="20"/>
          <w:szCs w:val="20"/>
        </w:rPr>
        <w:t>から輸出することができます。</w:t>
      </w:r>
      <w:r w:rsidRPr="00341C20">
        <w:rPr>
          <w:rFonts w:ascii="Arial" w:eastAsia="宋体" w:hAnsi="Arial" w:cs="Arial"/>
          <w:kern w:val="0"/>
          <w:sz w:val="20"/>
          <w:szCs w:val="20"/>
        </w:rPr>
        <w:t xml:space="preserve"> </w:t>
      </w:r>
    </w:p>
    <w:p w:rsidR="00341C20" w:rsidRPr="00341C20" w:rsidRDefault="00341C20" w:rsidP="00341C20">
      <w:pPr>
        <w:pStyle w:val="2"/>
        <w:rPr>
          <w:sz w:val="20"/>
          <w:szCs w:val="20"/>
        </w:rPr>
      </w:pPr>
      <w:r w:rsidRPr="00341C20">
        <w:rPr>
          <w:shd w:val="clear" w:color="auto" w:fill="FFFFFF"/>
        </w:rPr>
        <w:t>SAP からクーパへの会社コード、原価センタ、および GL 勘定コードの組み合わせ</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と適切に統合するように</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を設定する場合、通常、</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の動的なアカウンティング機能を使用する必要があります。関係するセグメントの数は、</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の標準アカウント文字列モデルの下で各アカウントを事前に定義するために、あまりにも多くの可能な組み合わせを作成する傾向があります。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noProof/>
          <w:kern w:val="0"/>
          <w:sz w:val="24"/>
          <w:szCs w:val="24"/>
        </w:rPr>
        <w:drawing>
          <wp:inline distT="0" distB="0" distL="0" distR="0" wp14:anchorId="35D7044F" wp14:editId="14CD248B">
            <wp:extent cx="3604260" cy="1935480"/>
            <wp:effectExtent l="0" t="0" r="0" b="7620"/>
            <wp:docPr id="6" name="图片 6" descr="https://success.coupa.com/@api/deki/files/486/choose_account.png?revision=1&amp;size=bestfit&amp;width=378&amp;heigh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ccess.coupa.com/@api/deki/files/486/choose_account.png?revision=1&amp;size=bestfit&amp;width=378&amp;height=2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60" cy="1935480"/>
                    </a:xfrm>
                    <a:prstGeom prst="rect">
                      <a:avLst/>
                    </a:prstGeom>
                    <a:noFill/>
                    <a:ln>
                      <a:noFill/>
                    </a:ln>
                  </pic:spPr>
                </pic:pic>
              </a:graphicData>
            </a:graphic>
          </wp:inline>
        </w:drawing>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のほとんどの環境では、以下の会計要素が関係します。</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会社コード</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購買組織</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購買グループ</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勘定割当カテゴリ</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コスト</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センター</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事業領域</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元帳</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内部指図</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WBS</w:t>
      </w:r>
      <w:r w:rsidRPr="00341C20">
        <w:rPr>
          <w:rFonts w:ascii="Arial" w:eastAsia="宋体" w:hAnsi="Arial" w:cs="Arial"/>
          <w:kern w:val="0"/>
          <w:sz w:val="24"/>
          <w:szCs w:val="24"/>
        </w:rPr>
        <w:t>要素</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資産</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植物</w:t>
      </w:r>
    </w:p>
    <w:p w:rsidR="00341C20" w:rsidRPr="00341C20" w:rsidRDefault="00341C20" w:rsidP="00341C20">
      <w:pPr>
        <w:widowControl/>
        <w:numPr>
          <w:ilvl w:val="0"/>
          <w:numId w:val="3"/>
        </w:numPr>
        <w:spacing w:before="60" w:after="60"/>
        <w:ind w:left="240"/>
        <w:jc w:val="left"/>
        <w:rPr>
          <w:rFonts w:ascii="Arial" w:eastAsia="宋体" w:hAnsi="Arial" w:cs="Arial"/>
          <w:kern w:val="0"/>
          <w:sz w:val="24"/>
          <w:szCs w:val="24"/>
        </w:rPr>
      </w:pPr>
      <w:r w:rsidRPr="00341C20">
        <w:rPr>
          <w:rFonts w:ascii="Arial" w:eastAsia="宋体" w:hAnsi="Arial" w:cs="Arial"/>
          <w:kern w:val="0"/>
          <w:sz w:val="24"/>
          <w:szCs w:val="24"/>
        </w:rPr>
        <w:t>材料グループ</w:t>
      </w:r>
    </w:p>
    <w:p w:rsidR="00341C20" w:rsidRPr="00341C20" w:rsidRDefault="00341C20" w:rsidP="00341C20">
      <w:pPr>
        <w:pStyle w:val="2"/>
      </w:pPr>
    </w:p>
    <w:p w:rsidR="00341C20" w:rsidRPr="00341C20" w:rsidRDefault="00341C20" w:rsidP="00341C20">
      <w:pPr>
        <w:pStyle w:val="2"/>
      </w:pP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の会社コードは購買発注と請求書のヘッダレベルにあるため、通常、各会社に対して</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で個別の勘定科目表</w:t>
      </w:r>
      <w:r w:rsidRPr="00341C20">
        <w:rPr>
          <w:rFonts w:ascii="Arial" w:eastAsia="宋体" w:hAnsi="Arial" w:cs="Arial"/>
          <w:kern w:val="0"/>
          <w:sz w:val="24"/>
          <w:szCs w:val="24"/>
        </w:rPr>
        <w:t xml:space="preserve"> (COA) </w:t>
      </w:r>
      <w:r w:rsidRPr="00341C20">
        <w:rPr>
          <w:rFonts w:ascii="Arial" w:eastAsia="宋体" w:hAnsi="Arial" w:cs="Arial"/>
          <w:kern w:val="0"/>
          <w:sz w:val="24"/>
          <w:szCs w:val="24"/>
        </w:rPr>
        <w:t>を定義します。</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のいくつかの会計要素で使用できる値は、選択された会社によって駆動されるため、各会社の個別の</w:t>
      </w:r>
      <w:r w:rsidRPr="00341C20">
        <w:rPr>
          <w:rFonts w:ascii="Arial" w:eastAsia="宋体" w:hAnsi="Arial" w:cs="Arial"/>
          <w:kern w:val="0"/>
          <w:sz w:val="24"/>
          <w:szCs w:val="24"/>
        </w:rPr>
        <w:t xml:space="preserve"> COA </w:t>
      </w:r>
      <w:r w:rsidRPr="00341C20">
        <w:rPr>
          <w:rFonts w:ascii="Arial" w:eastAsia="宋体" w:hAnsi="Arial" w:cs="Arial"/>
          <w:kern w:val="0"/>
          <w:sz w:val="24"/>
          <w:szCs w:val="24"/>
        </w:rPr>
        <w:t>によって、</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のデータ構造が簡素化され、エンドユーザーに適切なレベルのフィルタリングが提供されます。また、このモデルは、大規模な組織で</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の複数のインスタンスと統合する場合に、適切なレベルの柔軟性とセグメンテーションを提供します。会社コードは、</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の特定の購買組織に属することもできます。通常は会社コードレベルで勘定科目表を定義するため、通常は</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で購買組織を指定しません。必要に応じて、ルックアップ値にカスタム項目を追加して、各会社コードに関連付けられた購入組織を定義できます。購買グループは、ユーザー入力フィールドとして</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要求</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のカスタム</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フィールドとして追加することも、仕入先プロファイルのカスタム</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フィールドとして値を追加して各仕入先にマップすることもできます。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各組織の要件に応じて、プラントにはいくつかのオプションがあります。各プラントは、要求で選択された出荷先住所として設定できます。または、プラントを会社コードでフィルタする必要がある場合は、各会社コードを特定のプラントにマッピングするか、会計セグメントとしてプラントを追加して、各会社に適切な値をフィルタすることができ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品目グループは、クーパの商品と同義であるため、これらの値は通常、クーパで定義されます。多くの組織では、品目グループは、利用可能な総勘定元帳の値を駆動して、各商品コードを</w:t>
      </w:r>
      <w:r w:rsidRPr="00341C20">
        <w:rPr>
          <w:rFonts w:ascii="Arial" w:eastAsia="宋体" w:hAnsi="Arial" w:cs="Arial"/>
          <w:kern w:val="0"/>
          <w:sz w:val="24"/>
          <w:szCs w:val="24"/>
        </w:rPr>
        <w:t xml:space="preserve"> 1 </w:t>
      </w:r>
      <w:r w:rsidRPr="00341C20">
        <w:rPr>
          <w:rFonts w:ascii="Arial" w:eastAsia="宋体" w:hAnsi="Arial" w:cs="Arial"/>
          <w:kern w:val="0"/>
          <w:sz w:val="24"/>
          <w:szCs w:val="24"/>
        </w:rPr>
        <w:t>つの</w:t>
      </w:r>
      <w:r w:rsidRPr="00341C20">
        <w:rPr>
          <w:rFonts w:ascii="Arial" w:eastAsia="宋体" w:hAnsi="Arial" w:cs="Arial"/>
          <w:kern w:val="0"/>
          <w:sz w:val="24"/>
          <w:szCs w:val="24"/>
        </w:rPr>
        <w:t xml:space="preserve"> GL </w:t>
      </w:r>
      <w:r w:rsidRPr="00341C20">
        <w:rPr>
          <w:rFonts w:ascii="Arial" w:eastAsia="宋体" w:hAnsi="Arial" w:cs="Arial"/>
          <w:kern w:val="0"/>
          <w:sz w:val="24"/>
          <w:szCs w:val="24"/>
        </w:rPr>
        <w:t>勘定にマップしたり、各品目勘定のフィルタされた一覧をユーザーに提供するために、会計セグメントとして品目グループを追加したりできます。材料グループ。</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w:t>
      </w:r>
      <w:r w:rsidRPr="00341C20">
        <w:rPr>
          <w:rFonts w:ascii="Arial" w:eastAsia="宋体" w:hAnsi="Arial" w:cs="Arial"/>
          <w:kern w:val="0"/>
          <w:sz w:val="24"/>
          <w:szCs w:val="24"/>
        </w:rPr>
        <w:t>アカウント</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カテゴリ</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で、アカウンティング</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フィールドを設定する必要があるドライブを選択します。</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のアカウント検証ルールと同様の機能を適用して、アカウントカテゴリごとに特定のフィールドが入力されないようにすることができます。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noProof/>
          <w:kern w:val="0"/>
          <w:sz w:val="24"/>
          <w:szCs w:val="24"/>
        </w:rPr>
        <w:lastRenderedPageBreak/>
        <w:drawing>
          <wp:inline distT="0" distB="0" distL="0" distR="0" wp14:anchorId="1CFF93CF" wp14:editId="13D61F3A">
            <wp:extent cx="3962400" cy="2514600"/>
            <wp:effectExtent l="0" t="0" r="0" b="0"/>
            <wp:docPr id="5" name="图片 5" descr="https://success.coupa.com/@api/deki/files/487/choose_account_error.png?revision=1&amp;size=bestfit&amp;width=416&amp;height=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ccess.coupa.com/@api/deki/files/487/choose_account_error.png?revision=1&amp;size=bestfit&amp;width=416&amp;height=2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514600"/>
                    </a:xfrm>
                    <a:prstGeom prst="rect">
                      <a:avLst/>
                    </a:prstGeom>
                    <a:noFill/>
                    <a:ln>
                      <a:noFill/>
                    </a:ln>
                  </pic:spPr>
                </pic:pic>
              </a:graphicData>
            </a:graphic>
          </wp:inline>
        </w:drawing>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統合は、最も一般的にクーパ標準フラットファイル形式を介して完了します。以下は、会計構造を</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にロードするために生成できる標準フラットファイルの例です</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データをフィルタリングするための階層構造に注意してください</w:t>
      </w:r>
      <w:r w:rsidRPr="00341C20">
        <w:rPr>
          <w:rFonts w:ascii="Arial" w:eastAsia="宋体" w:hAnsi="Arial" w:cs="Arial"/>
          <w:kern w:val="0"/>
          <w:sz w:val="24"/>
          <w:szCs w:val="24"/>
        </w:rPr>
        <w:t>)</w:t>
      </w:r>
      <w:r w:rsidRPr="00341C20">
        <w:rPr>
          <w:rFonts w:ascii="Arial" w:eastAsia="宋体" w:hAnsi="Arial" w:cs="Arial"/>
          <w:kern w:val="0"/>
          <w:sz w:val="24"/>
          <w:szCs w:val="24"/>
        </w:rPr>
        <w:t>。</w:t>
      </w:r>
    </w:p>
    <w:p w:rsidR="00341C20" w:rsidRPr="00341C20" w:rsidRDefault="00341C20" w:rsidP="00341C20">
      <w:pPr>
        <w:widowControl/>
        <w:spacing w:before="240" w:after="240"/>
        <w:jc w:val="left"/>
        <w:rPr>
          <w:rFonts w:ascii="Arial" w:eastAsia="宋体" w:hAnsi="Arial" w:cs="Arial"/>
          <w:kern w:val="0"/>
          <w:sz w:val="24"/>
          <w:szCs w:val="24"/>
        </w:rPr>
      </w:pPr>
      <w:hyperlink r:id="rId14" w:tooltip="Sample_Data_-_Lookup_Values.xls" w:history="1">
        <w:r w:rsidRPr="00341C20">
          <w:rPr>
            <w:rFonts w:ascii="Arial" w:eastAsia="宋体" w:hAnsi="Arial" w:cs="Arial"/>
            <w:kern w:val="0"/>
            <w:sz w:val="24"/>
            <w:szCs w:val="24"/>
          </w:rPr>
          <w:t>会計データ</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ファイルのサンプル</w:t>
        </w:r>
      </w:hyperlink>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これらの要素の一部は、データの性質が比較的静的であるため、</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で手動で更新される場合が一般的です</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たとえば、会社コード、勘定カテゴリ、商品など</w:t>
      </w:r>
      <w:r w:rsidRPr="00341C20">
        <w:rPr>
          <w:rFonts w:ascii="Arial" w:eastAsia="宋体" w:hAnsi="Arial" w:cs="Arial"/>
          <w:kern w:val="0"/>
          <w:sz w:val="24"/>
          <w:szCs w:val="24"/>
        </w:rPr>
        <w:t>)</w:t>
      </w:r>
      <w:r w:rsidRPr="00341C20">
        <w:rPr>
          <w:rFonts w:ascii="Arial" w:eastAsia="宋体" w:hAnsi="Arial" w:cs="Arial"/>
          <w:kern w:val="0"/>
          <w:sz w:val="24"/>
          <w:szCs w:val="24"/>
        </w:rPr>
        <w:t>。この構造により、各ビジネスオブジェクトを個別にロードして、手動で管理できるオブジェクトと統合できるオブジェクトを使用できます。</w:t>
      </w:r>
    </w:p>
    <w:p w:rsidR="00475654" w:rsidRPr="00341C20" w:rsidRDefault="00341C20" w:rsidP="00341C20">
      <w:pPr>
        <w:pStyle w:val="2"/>
        <w:rPr>
          <w:shd w:val="clear" w:color="auto" w:fill="FFFFFF"/>
        </w:rPr>
      </w:pPr>
      <w:r w:rsidRPr="00341C20">
        <w:rPr>
          <w:shd w:val="clear" w:color="auto" w:fill="FFFFFF"/>
        </w:rPr>
        <w:t>SAP からクーパへのユーザー/承認者</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ユーザーを作成および維持するための、クーパ標準フラットファイル形式または</w:t>
      </w:r>
      <w:r w:rsidRPr="00341C20">
        <w:rPr>
          <w:rFonts w:ascii="Arial" w:eastAsia="宋体" w:hAnsi="Arial" w:cs="Arial"/>
          <w:kern w:val="0"/>
          <w:sz w:val="24"/>
          <w:szCs w:val="24"/>
        </w:rPr>
        <w:t>REST</w:t>
      </w:r>
      <w:r w:rsidRPr="00341C20">
        <w:rPr>
          <w:rFonts w:ascii="Arial" w:eastAsia="宋体" w:hAnsi="Arial" w:cs="Arial"/>
          <w:kern w:val="0"/>
          <w:sz w:val="24"/>
          <w:szCs w:val="24"/>
        </w:rPr>
        <w:t>ベースの</w:t>
      </w:r>
      <w:r w:rsidRPr="00341C20">
        <w:rPr>
          <w:rFonts w:ascii="Arial" w:eastAsia="宋体" w:hAnsi="Arial" w:cs="Arial"/>
          <w:kern w:val="0"/>
          <w:sz w:val="24"/>
          <w:szCs w:val="24"/>
        </w:rPr>
        <w:t>API</w:t>
      </w:r>
      <w:r w:rsidRPr="00341C20">
        <w:rPr>
          <w:rFonts w:ascii="Arial" w:eastAsia="宋体" w:hAnsi="Arial" w:cs="Arial"/>
          <w:kern w:val="0"/>
          <w:sz w:val="24"/>
          <w:szCs w:val="24"/>
        </w:rPr>
        <w:t>を介して統合を完了することができます。</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内のユーザー</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アクティビティの範囲を考えると、</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内のユーザー管理の簡略化されたモデルがあります。つまり、以下の考慮事項は、ユーザー</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オブジェクトの統合作業に大きな影響を与える可能性があります。</w:t>
      </w:r>
    </w:p>
    <w:p w:rsidR="00341C20" w:rsidRPr="00341C20" w:rsidRDefault="00341C20" w:rsidP="00341C20">
      <w:pPr>
        <w:widowControl/>
        <w:numPr>
          <w:ilvl w:val="0"/>
          <w:numId w:val="4"/>
        </w:numPr>
        <w:spacing w:before="60" w:after="60"/>
        <w:ind w:left="240"/>
        <w:jc w:val="left"/>
        <w:rPr>
          <w:rFonts w:ascii="Arial" w:eastAsia="宋体" w:hAnsi="Arial" w:cs="Arial"/>
          <w:kern w:val="0"/>
          <w:sz w:val="24"/>
          <w:szCs w:val="24"/>
        </w:rPr>
      </w:pPr>
      <w:r w:rsidRPr="00341C20">
        <w:rPr>
          <w:rFonts w:ascii="Arial" w:eastAsia="宋体" w:hAnsi="Arial" w:cs="Arial"/>
          <w:b/>
          <w:bCs/>
          <w:kern w:val="0"/>
          <w:sz w:val="24"/>
          <w:szCs w:val="24"/>
        </w:rPr>
        <w:t>承認制限</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ユーザが</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と比較して承認限度を正確に反映するようにします。</w:t>
      </w:r>
    </w:p>
    <w:p w:rsidR="00341C20" w:rsidRPr="00341C20" w:rsidRDefault="00341C20" w:rsidP="00341C20">
      <w:pPr>
        <w:widowControl/>
        <w:numPr>
          <w:ilvl w:val="0"/>
          <w:numId w:val="4"/>
        </w:numPr>
        <w:spacing w:before="60" w:after="60"/>
        <w:ind w:left="240"/>
        <w:jc w:val="left"/>
        <w:rPr>
          <w:rFonts w:ascii="Arial" w:eastAsia="宋体" w:hAnsi="Arial" w:cs="Arial"/>
          <w:kern w:val="0"/>
          <w:sz w:val="24"/>
          <w:szCs w:val="24"/>
        </w:rPr>
      </w:pPr>
      <w:r w:rsidRPr="00341C20">
        <w:rPr>
          <w:rFonts w:ascii="Arial" w:eastAsia="宋体" w:hAnsi="Arial" w:cs="Arial"/>
          <w:b/>
          <w:bCs/>
          <w:kern w:val="0"/>
          <w:sz w:val="24"/>
          <w:szCs w:val="24"/>
        </w:rPr>
        <w:t>大規模な組織変更</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一般的ではありませんが、これらは統合設計に考慮する必要があり、コスト</w:t>
      </w:r>
      <w:r w:rsidRPr="00341C20">
        <w:rPr>
          <w:rFonts w:ascii="Arial" w:eastAsia="宋体" w:hAnsi="Arial" w:cs="Arial"/>
          <w:kern w:val="0"/>
          <w:sz w:val="24"/>
          <w:szCs w:val="24"/>
        </w:rPr>
        <w:t>/</w:t>
      </w:r>
      <w:r w:rsidRPr="00341C20">
        <w:rPr>
          <w:rFonts w:ascii="Arial" w:eastAsia="宋体" w:hAnsi="Arial" w:cs="Arial"/>
          <w:kern w:val="0"/>
          <w:sz w:val="24"/>
          <w:szCs w:val="24"/>
        </w:rPr>
        <w:t>利益分析に基づいてスコープインまたはアウトの可能性があります。</w:t>
      </w:r>
    </w:p>
    <w:p w:rsidR="00341C20" w:rsidRPr="00341C20" w:rsidRDefault="00341C20" w:rsidP="00341C20">
      <w:pPr>
        <w:widowControl/>
        <w:numPr>
          <w:ilvl w:val="0"/>
          <w:numId w:val="4"/>
        </w:numPr>
        <w:spacing w:before="60" w:after="60"/>
        <w:ind w:left="240"/>
        <w:jc w:val="left"/>
        <w:rPr>
          <w:rFonts w:ascii="Arial" w:eastAsia="宋体" w:hAnsi="Arial" w:cs="Arial"/>
          <w:kern w:val="0"/>
          <w:sz w:val="24"/>
          <w:szCs w:val="24"/>
        </w:rPr>
      </w:pPr>
      <w:r w:rsidRPr="00341C20">
        <w:rPr>
          <w:rFonts w:ascii="Arial" w:eastAsia="宋体" w:hAnsi="Arial" w:cs="Arial"/>
          <w:b/>
          <w:bCs/>
          <w:kern w:val="0"/>
          <w:sz w:val="24"/>
          <w:szCs w:val="24"/>
        </w:rPr>
        <w:t>コンテンツセキュリティ</w:t>
      </w:r>
      <w:r w:rsidRPr="00341C20">
        <w:rPr>
          <w:rFonts w:ascii="Arial" w:eastAsia="宋体" w:hAnsi="Arial" w:cs="Arial"/>
          <w:kern w:val="0"/>
          <w:sz w:val="24"/>
          <w:szCs w:val="24"/>
        </w:rPr>
        <w:t>- Coupa</w:t>
      </w:r>
      <w:r w:rsidRPr="00341C20">
        <w:rPr>
          <w:rFonts w:ascii="Arial" w:eastAsia="宋体" w:hAnsi="Arial" w:cs="Arial"/>
          <w:kern w:val="0"/>
          <w:sz w:val="24"/>
          <w:szCs w:val="24"/>
        </w:rPr>
        <w:t>では、カタログコンテンツへのアクセスを制御し、ビジネス要件に基づいて、異なるビジネスグループまたは事業単位間でカタログコンテンツを分離することができます。</w:t>
      </w:r>
    </w:p>
    <w:p w:rsidR="00341C20" w:rsidRPr="00341C20" w:rsidRDefault="00341C20" w:rsidP="00341C20">
      <w:pPr>
        <w:widowControl/>
        <w:numPr>
          <w:ilvl w:val="0"/>
          <w:numId w:val="4"/>
        </w:numPr>
        <w:spacing w:before="60" w:after="60"/>
        <w:ind w:left="240"/>
        <w:jc w:val="left"/>
        <w:rPr>
          <w:rFonts w:ascii="Arial" w:eastAsia="宋体" w:hAnsi="Arial" w:cs="Arial"/>
          <w:kern w:val="0"/>
          <w:sz w:val="24"/>
          <w:szCs w:val="24"/>
        </w:rPr>
      </w:pPr>
      <w:r w:rsidRPr="00341C20">
        <w:rPr>
          <w:rFonts w:ascii="Arial" w:eastAsia="宋体" w:hAnsi="Arial" w:cs="Arial"/>
          <w:b/>
          <w:bCs/>
          <w:kern w:val="0"/>
          <w:sz w:val="24"/>
          <w:szCs w:val="24"/>
        </w:rPr>
        <w:t xml:space="preserve">G/L </w:t>
      </w:r>
      <w:r w:rsidRPr="00341C20">
        <w:rPr>
          <w:rFonts w:ascii="Arial" w:eastAsia="宋体" w:hAnsi="Arial" w:cs="Arial"/>
          <w:b/>
          <w:bCs/>
          <w:kern w:val="0"/>
          <w:sz w:val="24"/>
          <w:szCs w:val="24"/>
        </w:rPr>
        <w:t>アカウント</w:t>
      </w:r>
      <w:r w:rsidRPr="00341C20">
        <w:rPr>
          <w:rFonts w:ascii="Arial" w:eastAsia="宋体" w:hAnsi="Arial" w:cs="Arial"/>
          <w:b/>
          <w:bCs/>
          <w:kern w:val="0"/>
          <w:sz w:val="24"/>
          <w:szCs w:val="24"/>
        </w:rPr>
        <w:t xml:space="preserve"> </w:t>
      </w:r>
      <w:r w:rsidRPr="00341C20">
        <w:rPr>
          <w:rFonts w:ascii="Arial" w:eastAsia="宋体" w:hAnsi="Arial" w:cs="Arial"/>
          <w:b/>
          <w:bCs/>
          <w:kern w:val="0"/>
          <w:sz w:val="24"/>
          <w:szCs w:val="24"/>
        </w:rPr>
        <w:t>コードのアクセスとセキュリティ</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課金コードの使用が、異なるユーザーが異なるアカウントに課金する機能に関する必要な制御を</w:t>
      </w:r>
      <w:r w:rsidRPr="00341C20">
        <w:rPr>
          <w:rFonts w:ascii="Arial" w:eastAsia="宋体" w:hAnsi="Arial" w:cs="Arial"/>
          <w:kern w:val="0"/>
          <w:sz w:val="24"/>
          <w:szCs w:val="24"/>
        </w:rPr>
        <w:lastRenderedPageBreak/>
        <w:t>提供するように設計されている場合、請求アカウントのセキュリティをユーザー統合に設計する可能性があります。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SAML </w:t>
      </w:r>
      <w:r w:rsidRPr="00341C20">
        <w:rPr>
          <w:rFonts w:ascii="Arial" w:eastAsia="宋体" w:hAnsi="Arial" w:cs="Arial"/>
          <w:kern w:val="0"/>
          <w:sz w:val="24"/>
          <w:szCs w:val="24"/>
        </w:rPr>
        <w:t>またはその他の外部認証メカニズムを実装する場合は、シームレスなシングル</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サインオンを容易にするためにユーザー</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レコードに必要なキー属性に対処する必要もありますが、特定の</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ロールを標準化して新しいすべての新しい認証に割り当てる可能性があります。従業員は、ユーザーが</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内の</w:t>
      </w:r>
      <w:r w:rsidRPr="00341C20">
        <w:rPr>
          <w:rFonts w:ascii="Arial" w:eastAsia="宋体" w:hAnsi="Arial" w:cs="Arial"/>
          <w:kern w:val="0"/>
          <w:sz w:val="24"/>
          <w:szCs w:val="24"/>
        </w:rPr>
        <w:t xml:space="preserve"> 1 </w:t>
      </w:r>
      <w:r w:rsidRPr="00341C20">
        <w:rPr>
          <w:rFonts w:ascii="Arial" w:eastAsia="宋体" w:hAnsi="Arial" w:cs="Arial"/>
          <w:kern w:val="0"/>
          <w:sz w:val="24"/>
          <w:szCs w:val="24"/>
        </w:rPr>
        <w:t>つの部署から別の部署に移動する場合、一般的に、その変更に伴って、潜在的な役割の変更とコンテンツ</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セキュリティを考慮する必要があります。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以下は、上記の属性と共にユーザー</w:t>
      </w:r>
      <w:r w:rsidRPr="00341C20">
        <w:rPr>
          <w:rFonts w:ascii="微软雅黑" w:eastAsia="微软雅黑" w:hAnsi="微软雅黑" w:cs="微软雅黑" w:hint="eastAsia"/>
          <w:kern w:val="0"/>
          <w:sz w:val="24"/>
          <w:szCs w:val="24"/>
        </w:rPr>
        <w:t>・</w:t>
      </w:r>
      <w:r w:rsidRPr="00341C20">
        <w:rPr>
          <w:rFonts w:ascii="宋体" w:eastAsia="宋体" w:hAnsi="宋体" w:cs="宋体" w:hint="eastAsia"/>
          <w:kern w:val="0"/>
          <w:sz w:val="24"/>
          <w:szCs w:val="24"/>
        </w:rPr>
        <w:t>プロファイル</w:t>
      </w:r>
      <w:r w:rsidRPr="00341C20">
        <w:rPr>
          <w:rFonts w:ascii="微软雅黑" w:eastAsia="微软雅黑" w:hAnsi="微软雅黑" w:cs="微软雅黑" w:hint="eastAsia"/>
          <w:kern w:val="0"/>
          <w:sz w:val="24"/>
          <w:szCs w:val="24"/>
        </w:rPr>
        <w:t>・</w:t>
      </w:r>
      <w:r w:rsidRPr="00341C20">
        <w:rPr>
          <w:rFonts w:ascii="宋体" w:eastAsia="宋体" w:hAnsi="宋体" w:cs="宋体" w:hint="eastAsia"/>
          <w:kern w:val="0"/>
          <w:sz w:val="24"/>
          <w:szCs w:val="24"/>
        </w:rPr>
        <w:t>データをロードするために生成できる標準フラット</w:t>
      </w:r>
      <w:r w:rsidRPr="00341C20">
        <w:rPr>
          <w:rFonts w:ascii="微软雅黑" w:eastAsia="微软雅黑" w:hAnsi="微软雅黑" w:cs="微软雅黑" w:hint="eastAsia"/>
          <w:kern w:val="0"/>
          <w:sz w:val="24"/>
          <w:szCs w:val="24"/>
        </w:rPr>
        <w:t>・</w:t>
      </w:r>
      <w:r w:rsidRPr="00341C20">
        <w:rPr>
          <w:rFonts w:ascii="宋体" w:eastAsia="宋体" w:hAnsi="宋体" w:cs="宋体" w:hint="eastAsia"/>
          <w:kern w:val="0"/>
          <w:sz w:val="24"/>
          <w:szCs w:val="24"/>
        </w:rPr>
        <w:t>ファイルの例です。</w:t>
      </w:r>
    </w:p>
    <w:p w:rsidR="00341C20" w:rsidRPr="00341C20" w:rsidRDefault="00341C20" w:rsidP="00341C20">
      <w:pPr>
        <w:widowControl/>
        <w:spacing w:before="240" w:after="240"/>
        <w:jc w:val="left"/>
        <w:rPr>
          <w:rFonts w:ascii="Arial" w:eastAsia="宋体" w:hAnsi="Arial" w:cs="Arial"/>
          <w:kern w:val="0"/>
          <w:sz w:val="24"/>
          <w:szCs w:val="24"/>
        </w:rPr>
      </w:pPr>
      <w:hyperlink r:id="rId15" w:tooltip="Sample_Data_-_Users.xls" w:history="1">
        <w:r w:rsidRPr="00341C20">
          <w:rPr>
            <w:rFonts w:ascii="Arial" w:eastAsia="宋体" w:hAnsi="Arial" w:cs="Arial"/>
            <w:kern w:val="0"/>
            <w:sz w:val="24"/>
            <w:szCs w:val="24"/>
            <w:u w:val="single"/>
          </w:rPr>
          <w:t>サンプル</w:t>
        </w:r>
        <w:r w:rsidRPr="00341C20">
          <w:rPr>
            <w:rFonts w:ascii="Arial" w:eastAsia="宋体" w:hAnsi="Arial" w:cs="Arial"/>
            <w:kern w:val="0"/>
            <w:sz w:val="24"/>
            <w:szCs w:val="24"/>
            <w:u w:val="single"/>
          </w:rPr>
          <w:t xml:space="preserve"> </w:t>
        </w:r>
        <w:r w:rsidRPr="00341C20">
          <w:rPr>
            <w:rFonts w:ascii="Arial" w:eastAsia="宋体" w:hAnsi="Arial" w:cs="Arial"/>
            <w:kern w:val="0"/>
            <w:sz w:val="24"/>
            <w:szCs w:val="24"/>
            <w:u w:val="single"/>
          </w:rPr>
          <w:t>ユーザー</w:t>
        </w:r>
        <w:r w:rsidRPr="00341C20">
          <w:rPr>
            <w:rFonts w:ascii="Arial" w:eastAsia="宋体" w:hAnsi="Arial" w:cs="Arial"/>
            <w:kern w:val="0"/>
            <w:sz w:val="24"/>
            <w:szCs w:val="24"/>
            <w:u w:val="single"/>
          </w:rPr>
          <w:t xml:space="preserve"> </w:t>
        </w:r>
        <w:r w:rsidRPr="00341C20">
          <w:rPr>
            <w:rFonts w:ascii="Arial" w:eastAsia="宋体" w:hAnsi="Arial" w:cs="Arial"/>
            <w:kern w:val="0"/>
            <w:sz w:val="24"/>
            <w:szCs w:val="24"/>
            <w:u w:val="single"/>
          </w:rPr>
          <w:t>データ</w:t>
        </w:r>
        <w:r w:rsidRPr="00341C20">
          <w:rPr>
            <w:rFonts w:ascii="Arial" w:eastAsia="宋体" w:hAnsi="Arial" w:cs="Arial"/>
            <w:kern w:val="0"/>
            <w:sz w:val="24"/>
            <w:szCs w:val="24"/>
            <w:u w:val="single"/>
          </w:rPr>
          <w:t xml:space="preserve"> </w:t>
        </w:r>
        <w:r w:rsidRPr="00341C20">
          <w:rPr>
            <w:rFonts w:ascii="Arial" w:eastAsia="宋体" w:hAnsi="Arial" w:cs="Arial"/>
            <w:kern w:val="0"/>
            <w:sz w:val="24"/>
            <w:szCs w:val="24"/>
            <w:u w:val="single"/>
          </w:rPr>
          <w:t>ファイル</w:t>
        </w:r>
      </w:hyperlink>
      <w:r w:rsidRPr="00341C20">
        <w:rPr>
          <w:rFonts w:ascii="Arial" w:eastAsia="宋体" w:hAnsi="Arial" w:cs="Arial"/>
          <w:kern w:val="0"/>
          <w:sz w:val="24"/>
          <w:szCs w:val="24"/>
        </w:rPr>
        <w:t xml:space="preserve">(CSV </w:t>
      </w:r>
      <w:r w:rsidRPr="00341C20">
        <w:rPr>
          <w:rFonts w:ascii="Arial" w:eastAsia="宋体" w:hAnsi="Arial" w:cs="Arial"/>
          <w:kern w:val="0"/>
          <w:sz w:val="24"/>
          <w:szCs w:val="24"/>
        </w:rPr>
        <w:t>形式で保存</w:t>
      </w:r>
      <w:r w:rsidRPr="00341C20">
        <w:rPr>
          <w:rFonts w:ascii="Arial" w:eastAsia="宋体" w:hAnsi="Arial" w:cs="Arial"/>
          <w:kern w:val="0"/>
          <w:sz w:val="24"/>
          <w:szCs w:val="24"/>
        </w:rPr>
        <w:t>)</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承認者をどのように統合するかは、ビジネス</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ルールの要件と複雑さに依存します。コスト</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センターやプロジェクト承認者などの比較的単純なビジネス</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ルールでは、</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のルックアップ値を使用して承認者を個々の要素に簡単にマップできます</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詳細については、会計データのセクションを参照してください</w:t>
      </w:r>
      <w:r w:rsidRPr="00341C20">
        <w:rPr>
          <w:rFonts w:ascii="Arial" w:eastAsia="宋体" w:hAnsi="Arial" w:cs="Arial"/>
          <w:kern w:val="0"/>
          <w:sz w:val="24"/>
          <w:szCs w:val="24"/>
        </w:rPr>
        <w:t>)</w:t>
      </w:r>
      <w:r w:rsidRPr="00341C20">
        <w:rPr>
          <w:rFonts w:ascii="Arial" w:eastAsia="宋体" w:hAnsi="Arial" w:cs="Arial"/>
          <w:kern w:val="0"/>
          <w:sz w:val="24"/>
          <w:szCs w:val="24"/>
        </w:rPr>
        <w:t>。承認者は、次のサンプル</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ファイルと同様の形式で、各原価部門またはプロジェクト値と共に送信できます。</w:t>
      </w:r>
    </w:p>
    <w:p w:rsidR="00341C20" w:rsidRPr="00341C20" w:rsidRDefault="00341C20" w:rsidP="00341C20">
      <w:pPr>
        <w:widowControl/>
        <w:spacing w:before="240" w:after="240"/>
        <w:jc w:val="left"/>
        <w:rPr>
          <w:rFonts w:ascii="Arial" w:eastAsia="宋体" w:hAnsi="Arial" w:cs="Arial"/>
          <w:kern w:val="0"/>
          <w:sz w:val="24"/>
          <w:szCs w:val="24"/>
        </w:rPr>
      </w:pPr>
      <w:hyperlink r:id="rId16" w:tooltip="Sample_Data_-_Lookup_Values.xls" w:history="1">
        <w:r w:rsidRPr="00341C20">
          <w:rPr>
            <w:rFonts w:ascii="Arial" w:eastAsia="宋体" w:hAnsi="Arial" w:cs="Arial"/>
            <w:kern w:val="0"/>
            <w:sz w:val="24"/>
            <w:szCs w:val="24"/>
          </w:rPr>
          <w:t>検索値の承認者ファイルのサンプル</w:t>
        </w:r>
      </w:hyperlink>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より複雑なビジネスルールでは、</w:t>
      </w:r>
      <w:r w:rsidRPr="00341C20">
        <w:rPr>
          <w:rFonts w:ascii="Arial" w:eastAsia="宋体" w:hAnsi="Arial" w:cs="Arial"/>
          <w:kern w:val="0"/>
          <w:sz w:val="24"/>
          <w:szCs w:val="24"/>
        </w:rPr>
        <w:t>Coupa</w:t>
      </w:r>
      <w:r w:rsidRPr="00341C20">
        <w:rPr>
          <w:rFonts w:ascii="Arial" w:eastAsia="宋体" w:hAnsi="Arial" w:cs="Arial"/>
          <w:kern w:val="0"/>
          <w:sz w:val="24"/>
          <w:szCs w:val="24"/>
        </w:rPr>
        <w:t>の承認チェーン機能を使用して、複雑な条件、ドル制限、優先度、個人またはグループの承認者を定義できます。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noProof/>
          <w:kern w:val="0"/>
          <w:sz w:val="24"/>
          <w:szCs w:val="24"/>
        </w:rPr>
        <w:lastRenderedPageBreak/>
        <w:drawing>
          <wp:inline distT="0" distB="0" distL="0" distR="0" wp14:anchorId="1878C24C" wp14:editId="6BC2A95C">
            <wp:extent cx="3992880" cy="3124200"/>
            <wp:effectExtent l="0" t="0" r="7620" b="0"/>
            <wp:docPr id="7" name="图片 7" descr="https://success.coupa.com/@api/deki/files/490/ac_s.png?revision=1&amp;size=bestfit&amp;width=419&amp;height=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ccess.coupa.com/@api/deki/files/490/ac_s.png?revision=1&amp;size=bestfit&amp;width=419&amp;height=3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2880" cy="3124200"/>
                    </a:xfrm>
                    <a:prstGeom prst="rect">
                      <a:avLst/>
                    </a:prstGeom>
                    <a:noFill/>
                    <a:ln>
                      <a:noFill/>
                    </a:ln>
                  </pic:spPr>
                </pic:pic>
              </a:graphicData>
            </a:graphic>
          </wp:inline>
        </w:drawing>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これらの承認チェーンは、必要に応じて、直接</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で維持することも、フラット</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ファイル統合を使用して管理することもできます。</w:t>
      </w:r>
    </w:p>
    <w:p w:rsidR="00341C20" w:rsidRPr="00341C20" w:rsidRDefault="00341C20" w:rsidP="00341C20">
      <w:pPr>
        <w:widowControl/>
        <w:spacing w:before="240" w:after="240"/>
        <w:jc w:val="left"/>
        <w:rPr>
          <w:rFonts w:ascii="Arial" w:eastAsia="宋体" w:hAnsi="Arial" w:cs="Arial"/>
          <w:kern w:val="0"/>
          <w:sz w:val="24"/>
          <w:szCs w:val="24"/>
        </w:rPr>
      </w:pPr>
      <w:hyperlink r:id="rId18" w:tooltip="Sample_Data_-_Approval_Chains.xls" w:history="1">
        <w:r w:rsidRPr="00341C20">
          <w:rPr>
            <w:rFonts w:ascii="Arial" w:eastAsia="宋体" w:hAnsi="Arial" w:cs="Arial"/>
            <w:kern w:val="0"/>
            <w:sz w:val="24"/>
            <w:szCs w:val="24"/>
          </w:rPr>
          <w:t>サンプルの承認チェーン</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ファイル</w:t>
        </w:r>
      </w:hyperlink>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また、検索値承認者と複雑な承認チェーンの両方を使用して、ビジネス承認ルールの完全なセットをサポートできることにも注意してください。</w:t>
      </w:r>
    </w:p>
    <w:p w:rsidR="00341C20" w:rsidRPr="00341C20" w:rsidRDefault="00341C20" w:rsidP="00341C20">
      <w:pPr>
        <w:pStyle w:val="2"/>
        <w:rPr>
          <w:rFonts w:ascii="Arial" w:hAnsi="Arial" w:cs="Arial"/>
          <w:shd w:val="clear" w:color="auto" w:fill="FFFFFF"/>
        </w:rPr>
      </w:pPr>
      <w:r w:rsidRPr="00341C20">
        <w:rPr>
          <w:rFonts w:ascii="Arial" w:hAnsi="Arial" w:cs="Arial"/>
          <w:shd w:val="clear" w:color="auto" w:fill="FFFFFF"/>
        </w:rPr>
        <w:t xml:space="preserve">SAP </w:t>
      </w:r>
      <w:r w:rsidRPr="00341C20">
        <w:rPr>
          <w:rFonts w:ascii="Arial" w:hAnsi="Arial" w:cs="Arial"/>
          <w:shd w:val="clear" w:color="auto" w:fill="FFFFFF"/>
        </w:rPr>
        <w:t>からクーパへの仕入先</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ほとんどの得意先は、</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インスタンスまたは何らかの形式の仕入先マスタモジュールで仕入先</w:t>
      </w:r>
      <w:r w:rsidRPr="00341C20">
        <w:rPr>
          <w:rFonts w:ascii="Arial" w:eastAsia="宋体" w:hAnsi="Arial" w:cs="Arial"/>
          <w:kern w:val="0"/>
          <w:sz w:val="24"/>
          <w:szCs w:val="24"/>
        </w:rPr>
        <w:t>/</w:t>
      </w:r>
      <w:r w:rsidRPr="00341C20">
        <w:rPr>
          <w:rFonts w:ascii="Arial" w:eastAsia="宋体" w:hAnsi="Arial" w:cs="Arial"/>
          <w:kern w:val="0"/>
          <w:sz w:val="24"/>
          <w:szCs w:val="24"/>
        </w:rPr>
        <w:t>供給元マスタデータを管理しており、一般データ、会社コードデータ、販売データなどのさまざまな子テーブルを持つ複雑なオブジェクトです。これらのすべてが効果的な仕入先管理にとって重要ですが、セルフサービス要求および</w:t>
      </w:r>
      <w:r w:rsidRPr="00341C20">
        <w:rPr>
          <w:rFonts w:ascii="Arial" w:eastAsia="宋体" w:hAnsi="Arial" w:cs="Arial"/>
          <w:kern w:val="0"/>
          <w:sz w:val="24"/>
          <w:szCs w:val="24"/>
        </w:rPr>
        <w:t xml:space="preserve"> PO </w:t>
      </w:r>
      <w:r w:rsidRPr="00341C20">
        <w:rPr>
          <w:rFonts w:ascii="Arial" w:eastAsia="宋体" w:hAnsi="Arial" w:cs="Arial"/>
          <w:kern w:val="0"/>
          <w:sz w:val="24"/>
          <w:szCs w:val="24"/>
        </w:rPr>
        <w:t>実行の場合、</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は通常、仕入先に対して</w:t>
      </w:r>
      <w:r w:rsidRPr="00341C20">
        <w:rPr>
          <w:rFonts w:ascii="Arial" w:eastAsia="宋体" w:hAnsi="Arial" w:cs="Arial"/>
          <w:kern w:val="0"/>
          <w:sz w:val="24"/>
          <w:szCs w:val="24"/>
        </w:rPr>
        <w:t xml:space="preserve"> 15 </w:t>
      </w:r>
      <w:r w:rsidRPr="00341C20">
        <w:rPr>
          <w:rFonts w:ascii="Arial" w:eastAsia="宋体" w:hAnsi="Arial" w:cs="Arial"/>
          <w:kern w:val="0"/>
          <w:sz w:val="24"/>
          <w:szCs w:val="24"/>
        </w:rPr>
        <w:t>の主要な属性しか必要としません。</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仕入先オブジェクトに必要な主要属性は、仕入先マスタレコード、</w:t>
      </w:r>
      <w:r w:rsidRPr="00341C20">
        <w:rPr>
          <w:rFonts w:ascii="Arial" w:eastAsia="宋体" w:hAnsi="Arial" w:cs="Arial"/>
          <w:kern w:val="0"/>
          <w:sz w:val="24"/>
          <w:szCs w:val="24"/>
        </w:rPr>
        <w:t xml:space="preserve">PO </w:t>
      </w:r>
      <w:r w:rsidRPr="00341C20">
        <w:rPr>
          <w:rFonts w:ascii="Arial" w:eastAsia="宋体" w:hAnsi="Arial" w:cs="Arial"/>
          <w:kern w:val="0"/>
          <w:sz w:val="24"/>
          <w:szCs w:val="24"/>
        </w:rPr>
        <w:t>コミュニケーション方法</w:t>
      </w:r>
      <w:r w:rsidRPr="00341C20">
        <w:rPr>
          <w:rFonts w:ascii="Arial" w:eastAsia="宋体" w:hAnsi="Arial" w:cs="Arial"/>
          <w:kern w:val="0"/>
          <w:sz w:val="24"/>
          <w:szCs w:val="24"/>
        </w:rPr>
        <w:t xml:space="preserve"> (cXML</w:t>
      </w:r>
      <w:r w:rsidRPr="00341C20">
        <w:rPr>
          <w:rFonts w:ascii="Arial" w:eastAsia="宋体" w:hAnsi="Arial" w:cs="Arial"/>
          <w:kern w:val="0"/>
          <w:sz w:val="24"/>
          <w:szCs w:val="24"/>
        </w:rPr>
        <w:t>、電子メールなど</w:t>
      </w:r>
      <w:r w:rsidRPr="00341C20">
        <w:rPr>
          <w:rFonts w:ascii="Arial" w:eastAsia="宋体" w:hAnsi="Arial" w:cs="Arial"/>
          <w:kern w:val="0"/>
          <w:sz w:val="24"/>
          <w:szCs w:val="24"/>
        </w:rPr>
        <w:t>)</w:t>
      </w:r>
      <w:r w:rsidRPr="00341C20">
        <w:rPr>
          <w:rFonts w:ascii="Arial" w:eastAsia="宋体" w:hAnsi="Arial" w:cs="Arial"/>
          <w:kern w:val="0"/>
          <w:sz w:val="24"/>
          <w:szCs w:val="24"/>
        </w:rPr>
        <w:t>、保留ステータス、および主に</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内のデフォルト設定に使用される支払条件、出荷条件などのその他の他の項目に焦点を当てています。これは、設計上、クーパ内のデータキャプチャを簡素化し、効果的なセルフサービス調達と</w:t>
      </w:r>
      <w:r w:rsidRPr="00341C20">
        <w:rPr>
          <w:rFonts w:ascii="Arial" w:eastAsia="宋体" w:hAnsi="Arial" w:cs="Arial"/>
          <w:kern w:val="0"/>
          <w:sz w:val="24"/>
          <w:szCs w:val="24"/>
        </w:rPr>
        <w:t>Coupa</w:t>
      </w:r>
      <w:r w:rsidRPr="00341C20">
        <w:rPr>
          <w:rFonts w:ascii="Arial" w:eastAsia="宋体" w:hAnsi="Arial" w:cs="Arial"/>
          <w:kern w:val="0"/>
          <w:sz w:val="24"/>
          <w:szCs w:val="24"/>
        </w:rPr>
        <w:t>を通じた買掛金処理に必要な主要な属性に焦点を当てることです。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では、サプライヤが</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にある場合と同様に特定の会社コードに制限され、また、各会社コードで仕入先が開かれ、ブロックされるため、フラットファイルまたは</w:t>
      </w:r>
      <w:r w:rsidRPr="00341C20">
        <w:rPr>
          <w:rFonts w:ascii="Arial" w:eastAsia="宋体" w:hAnsi="Arial" w:cs="Arial"/>
          <w:kern w:val="0"/>
          <w:sz w:val="24"/>
          <w:szCs w:val="24"/>
        </w:rPr>
        <w:t xml:space="preserve"> API </w:t>
      </w:r>
      <w:r w:rsidRPr="00341C20">
        <w:rPr>
          <w:rFonts w:ascii="Arial" w:eastAsia="宋体" w:hAnsi="Arial" w:cs="Arial"/>
          <w:kern w:val="0"/>
          <w:sz w:val="24"/>
          <w:szCs w:val="24"/>
        </w:rPr>
        <w:t>を介してこの関係を統合することもできます。以前のリリースでは、必要に応じてこの機能を可能にするために</w:t>
      </w:r>
      <w:r w:rsidRPr="00341C20">
        <w:rPr>
          <w:rFonts w:ascii="Arial" w:eastAsia="宋体" w:hAnsi="Arial" w:cs="Arial"/>
          <w:kern w:val="0"/>
          <w:sz w:val="24"/>
          <w:szCs w:val="24"/>
        </w:rPr>
        <w:t>Coupa</w:t>
      </w:r>
      <w:r w:rsidRPr="00341C20">
        <w:rPr>
          <w:rFonts w:ascii="Arial" w:eastAsia="宋体" w:hAnsi="Arial" w:cs="Arial"/>
          <w:kern w:val="0"/>
          <w:sz w:val="24"/>
          <w:szCs w:val="24"/>
        </w:rPr>
        <w:t>のサプ</w:t>
      </w:r>
      <w:r w:rsidRPr="00341C20">
        <w:rPr>
          <w:rFonts w:ascii="Arial" w:eastAsia="宋体" w:hAnsi="Arial" w:cs="Arial"/>
          <w:kern w:val="0"/>
          <w:sz w:val="24"/>
          <w:szCs w:val="24"/>
        </w:rPr>
        <w:lastRenderedPageBreak/>
        <w:t>ライヤーデータを適切にモデル化するクライアント固有のソリューションを開発しました。</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には</w:t>
      </w:r>
      <w:r w:rsidRPr="00341C20">
        <w:rPr>
          <w:rFonts w:ascii="Arial" w:eastAsia="宋体" w:hAnsi="Arial" w:cs="Arial"/>
          <w:kern w:val="0"/>
          <w:sz w:val="24"/>
          <w:szCs w:val="24"/>
        </w:rPr>
        <w:t xml:space="preserve"> SAP </w:t>
      </w:r>
      <w:r w:rsidRPr="00341C20">
        <w:rPr>
          <w:rFonts w:ascii="Arial" w:eastAsia="宋体" w:hAnsi="Arial" w:cs="Arial"/>
          <w:kern w:val="0"/>
          <w:sz w:val="24"/>
          <w:szCs w:val="24"/>
        </w:rPr>
        <w:t>のように仕入先パートナー関係モデルはありませんが、</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の一部のお客様と協力して、データを</w:t>
      </w:r>
      <w:r w:rsidRPr="00341C20">
        <w:rPr>
          <w:rFonts w:ascii="Arial" w:eastAsia="宋体" w:hAnsi="Arial" w:cs="Arial"/>
          <w:kern w:val="0"/>
          <w:sz w:val="24"/>
          <w:szCs w:val="24"/>
        </w:rPr>
        <w:t xml:space="preserve"> Coupa </w:t>
      </w:r>
      <w:r w:rsidRPr="00341C20">
        <w:rPr>
          <w:rFonts w:ascii="Arial" w:eastAsia="宋体" w:hAnsi="Arial" w:cs="Arial"/>
          <w:kern w:val="0"/>
          <w:sz w:val="24"/>
          <w:szCs w:val="24"/>
        </w:rPr>
        <w:t>に読み込み、必要に応じてパートナー関係を表示できるようにユーザーに表示しています。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ほとんどのお客様は、</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での</w:t>
      </w:r>
      <w:r w:rsidRPr="00341C20">
        <w:rPr>
          <w:rFonts w:ascii="Arial" w:eastAsia="宋体" w:hAnsi="Arial" w:cs="Arial"/>
          <w:kern w:val="0"/>
          <w:sz w:val="24"/>
          <w:szCs w:val="24"/>
        </w:rPr>
        <w:t xml:space="preserve"> Supplier </w:t>
      </w:r>
      <w:r w:rsidRPr="00341C20">
        <w:rPr>
          <w:rFonts w:ascii="Arial" w:eastAsia="宋体" w:hAnsi="Arial" w:cs="Arial"/>
          <w:kern w:val="0"/>
          <w:sz w:val="24"/>
          <w:szCs w:val="24"/>
        </w:rPr>
        <w:t>データ編集をロックダウンし、</w:t>
      </w:r>
      <w:r w:rsidRPr="00341C20">
        <w:rPr>
          <w:rFonts w:ascii="Arial" w:eastAsia="宋体" w:hAnsi="Arial" w:cs="Arial"/>
          <w:kern w:val="0"/>
          <w:sz w:val="24"/>
          <w:szCs w:val="24"/>
        </w:rPr>
        <w:t xml:space="preserve">SAP </w:t>
      </w:r>
      <w:r w:rsidRPr="00341C20">
        <w:rPr>
          <w:rFonts w:ascii="Arial" w:eastAsia="宋体" w:hAnsi="Arial" w:cs="Arial"/>
          <w:kern w:val="0"/>
          <w:sz w:val="24"/>
          <w:szCs w:val="24"/>
        </w:rPr>
        <w:t>インスタンスからの統合を通じて仕入先マスター情報に対する編集を実行します。</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のカスタム</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ロールとアクセス許可を利用して、購入者や</w:t>
      </w:r>
      <w:r w:rsidRPr="00341C20">
        <w:rPr>
          <w:rFonts w:ascii="Arial" w:eastAsia="宋体" w:hAnsi="Arial" w:cs="Arial"/>
          <w:kern w:val="0"/>
          <w:sz w:val="24"/>
          <w:szCs w:val="24"/>
        </w:rPr>
        <w:t xml:space="preserve"> AP </w:t>
      </w:r>
      <w:r w:rsidRPr="00341C20">
        <w:rPr>
          <w:rFonts w:ascii="Arial" w:eastAsia="宋体" w:hAnsi="Arial" w:cs="Arial"/>
          <w:kern w:val="0"/>
          <w:sz w:val="24"/>
          <w:szCs w:val="24"/>
        </w:rPr>
        <w:t>スーパーバイザーなどの強化されたロールを持つユーザーがサプライヤー</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データを編集できないようにし、ベンダー管理に関するコンプライアンス要件をサポートします。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Coupa Standard </w:t>
      </w:r>
      <w:r w:rsidRPr="00341C20">
        <w:rPr>
          <w:rFonts w:ascii="Arial" w:eastAsia="宋体" w:hAnsi="Arial" w:cs="Arial"/>
          <w:kern w:val="0"/>
          <w:sz w:val="24"/>
          <w:szCs w:val="24"/>
        </w:rPr>
        <w:t>統合は、新しい仕入先レコードを作成するか、既存の仕入先を変更するメカニズムを提供します。また、</w:t>
      </w:r>
      <w:r w:rsidRPr="00341C20">
        <w:rPr>
          <w:rFonts w:ascii="Arial" w:eastAsia="宋体" w:hAnsi="Arial" w:cs="Arial"/>
          <w:kern w:val="0"/>
          <w:sz w:val="24"/>
          <w:szCs w:val="24"/>
        </w:rPr>
        <w:t xml:space="preserve">5 </w:t>
      </w:r>
      <w:r w:rsidRPr="00341C20">
        <w:rPr>
          <w:rFonts w:ascii="Arial" w:eastAsia="宋体" w:hAnsi="Arial" w:cs="Arial"/>
          <w:kern w:val="0"/>
          <w:sz w:val="24"/>
          <w:szCs w:val="24"/>
        </w:rPr>
        <w:t>分から週単位、または頻度の低いものまで、さまざまな間隔で統合を実行する柔軟性もあります。ほとんどの顧客は、ベンダーのサブセットのみをインターフェイスに選択します。その根拠は、過去</w:t>
      </w:r>
      <w:r w:rsidRPr="00341C20">
        <w:rPr>
          <w:rFonts w:ascii="Arial" w:eastAsia="宋体" w:hAnsi="Arial" w:cs="Arial"/>
          <w:kern w:val="0"/>
          <w:sz w:val="24"/>
          <w:szCs w:val="24"/>
        </w:rPr>
        <w:t>2</w:t>
      </w:r>
      <w:r w:rsidRPr="00341C20">
        <w:rPr>
          <w:rFonts w:ascii="Arial" w:eastAsia="宋体" w:hAnsi="Arial" w:cs="Arial"/>
          <w:kern w:val="0"/>
          <w:sz w:val="24"/>
          <w:szCs w:val="24"/>
        </w:rPr>
        <w:t>年以下の活動を行っているサプライヤーのみを供給することです。これは顧客ごとに変更されますが、統合に関する考慮事項の</w:t>
      </w:r>
      <w:r w:rsidRPr="00341C20">
        <w:rPr>
          <w:rFonts w:ascii="Arial" w:eastAsia="宋体" w:hAnsi="Arial" w:cs="Arial"/>
          <w:kern w:val="0"/>
          <w:sz w:val="24"/>
          <w:szCs w:val="24"/>
        </w:rPr>
        <w:t xml:space="preserve"> 1 </w:t>
      </w:r>
      <w:r w:rsidRPr="00341C20">
        <w:rPr>
          <w:rFonts w:ascii="Arial" w:eastAsia="宋体" w:hAnsi="Arial" w:cs="Arial"/>
          <w:kern w:val="0"/>
          <w:sz w:val="24"/>
          <w:szCs w:val="24"/>
        </w:rPr>
        <w:t>つとして対処する必要があり、例外を管理するためのプロセスが必要になります。この分析を行い、統合に最適なリストを特定するお客様の努力があります。</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統合は、最も一般的にクーパ標準フラットファイル形式を介して完了します。以下は、</w:t>
      </w:r>
      <w:r w:rsidRPr="00341C20">
        <w:rPr>
          <w:rFonts w:ascii="Arial" w:eastAsia="宋体" w:hAnsi="Arial" w:cs="Arial"/>
          <w:kern w:val="0"/>
          <w:sz w:val="24"/>
          <w:szCs w:val="24"/>
        </w:rPr>
        <w:t xml:space="preserve">Coupa </w:t>
      </w:r>
      <w:r w:rsidRPr="00341C20">
        <w:rPr>
          <w:rFonts w:ascii="Arial" w:eastAsia="宋体" w:hAnsi="Arial" w:cs="Arial"/>
          <w:kern w:val="0"/>
          <w:sz w:val="24"/>
          <w:szCs w:val="24"/>
        </w:rPr>
        <w:t>にベンダーデータをロードするために生成できる標準フラットファイルの例です。</w:t>
      </w:r>
    </w:p>
    <w:p w:rsidR="00341C20" w:rsidRPr="00341C20" w:rsidRDefault="00341C20" w:rsidP="00341C20">
      <w:pPr>
        <w:widowControl/>
        <w:spacing w:before="240" w:after="240"/>
        <w:jc w:val="left"/>
        <w:rPr>
          <w:rFonts w:ascii="Arial" w:eastAsia="宋体" w:hAnsi="Arial" w:cs="Arial"/>
          <w:kern w:val="0"/>
          <w:sz w:val="24"/>
          <w:szCs w:val="24"/>
        </w:rPr>
      </w:pPr>
      <w:hyperlink r:id="rId19" w:tooltip="Sample_Data_-_Suppliers.txt" w:history="1">
        <w:r w:rsidRPr="00341C20">
          <w:rPr>
            <w:rFonts w:ascii="Arial" w:eastAsia="宋体" w:hAnsi="Arial" w:cs="Arial"/>
            <w:kern w:val="0"/>
            <w:sz w:val="24"/>
            <w:szCs w:val="24"/>
            <w:u w:val="single"/>
          </w:rPr>
          <w:t>サンプルサプライヤーデータファイル</w:t>
        </w:r>
      </w:hyperlink>
      <w:r w:rsidRPr="00341C20">
        <w:rPr>
          <w:rFonts w:ascii="Arial" w:eastAsia="宋体" w:hAnsi="Arial" w:cs="Arial"/>
          <w:kern w:val="0"/>
          <w:sz w:val="24"/>
          <w:szCs w:val="24"/>
        </w:rPr>
        <w:t>(</w:t>
      </w:r>
      <w:r w:rsidRPr="00341C20">
        <w:rPr>
          <w:rFonts w:ascii="Arial" w:eastAsia="宋体" w:hAnsi="Arial" w:cs="Arial"/>
          <w:kern w:val="0"/>
          <w:sz w:val="24"/>
          <w:szCs w:val="24"/>
        </w:rPr>
        <w:t>ダウンロード後に拡張子を</w:t>
      </w:r>
      <w:r w:rsidRPr="00341C20">
        <w:rPr>
          <w:rFonts w:ascii="Arial" w:eastAsia="宋体" w:hAnsi="Arial" w:cs="Arial"/>
          <w:kern w:val="0"/>
          <w:sz w:val="24"/>
          <w:szCs w:val="24"/>
        </w:rPr>
        <w:t>csv</w:t>
      </w:r>
      <w:r w:rsidRPr="00341C20">
        <w:rPr>
          <w:rFonts w:ascii="Arial" w:eastAsia="宋体" w:hAnsi="Arial" w:cs="Arial"/>
          <w:kern w:val="0"/>
          <w:sz w:val="24"/>
          <w:szCs w:val="24"/>
        </w:rPr>
        <w:t>に変更</w:t>
      </w:r>
      <w:r w:rsidRPr="00341C20">
        <w:rPr>
          <w:rFonts w:ascii="Arial" w:eastAsia="宋体" w:hAnsi="Arial" w:cs="Arial"/>
          <w:kern w:val="0"/>
          <w:sz w:val="24"/>
          <w:szCs w:val="24"/>
        </w:rPr>
        <w:t>)</w:t>
      </w:r>
    </w:p>
    <w:p w:rsidR="00341C20" w:rsidRPr="00341C20" w:rsidRDefault="00341C20" w:rsidP="00341C20">
      <w:pPr>
        <w:widowControl/>
        <w:spacing w:before="240" w:after="240"/>
        <w:jc w:val="left"/>
        <w:rPr>
          <w:rFonts w:ascii="Arial" w:eastAsia="宋体" w:hAnsi="Arial" w:cs="Arial"/>
          <w:kern w:val="0"/>
          <w:sz w:val="24"/>
          <w:szCs w:val="24"/>
        </w:rPr>
      </w:pPr>
      <w:r w:rsidRPr="00341C20">
        <w:rPr>
          <w:rFonts w:ascii="Arial" w:eastAsia="宋体" w:hAnsi="Arial" w:cs="Arial"/>
          <w:kern w:val="0"/>
          <w:sz w:val="24"/>
          <w:szCs w:val="24"/>
        </w:rPr>
        <w:t xml:space="preserve">REST API </w:t>
      </w:r>
      <w:r w:rsidRPr="00341C20">
        <w:rPr>
          <w:rFonts w:ascii="Arial" w:eastAsia="宋体" w:hAnsi="Arial" w:cs="Arial"/>
          <w:kern w:val="0"/>
          <w:sz w:val="24"/>
          <w:szCs w:val="24"/>
        </w:rPr>
        <w:t>は、プロセスをより詳細に制御する必要がある、またはリアルタイム統合を必要とするお客様に提供されます。業者の初期セットを一括読み込みする場合は、標準のフラット</w:t>
      </w:r>
      <w:r w:rsidRPr="00341C20">
        <w:rPr>
          <w:rFonts w:ascii="Arial" w:eastAsia="宋体" w:hAnsi="Arial" w:cs="Arial"/>
          <w:kern w:val="0"/>
          <w:sz w:val="24"/>
          <w:szCs w:val="24"/>
        </w:rPr>
        <w:t xml:space="preserve"> </w:t>
      </w:r>
      <w:r w:rsidRPr="00341C20">
        <w:rPr>
          <w:rFonts w:ascii="Arial" w:eastAsia="宋体" w:hAnsi="Arial" w:cs="Arial"/>
          <w:kern w:val="0"/>
          <w:sz w:val="24"/>
          <w:szCs w:val="24"/>
        </w:rPr>
        <w:t>ファイル形式を利用するのが一般的です。</w:t>
      </w:r>
    </w:p>
    <w:p w:rsidR="00341C20" w:rsidRPr="00341C20" w:rsidRDefault="00341C20" w:rsidP="00341C20">
      <w:pPr>
        <w:pStyle w:val="2"/>
        <w:rPr>
          <w:rFonts w:hint="eastAsia"/>
        </w:rPr>
      </w:pPr>
    </w:p>
    <w:sectPr w:rsidR="00341C20" w:rsidRPr="00341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0342"/>
    <w:multiLevelType w:val="multilevel"/>
    <w:tmpl w:val="469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03DC8"/>
    <w:multiLevelType w:val="multilevel"/>
    <w:tmpl w:val="C4A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0B00C3"/>
    <w:multiLevelType w:val="multilevel"/>
    <w:tmpl w:val="D25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837511"/>
    <w:multiLevelType w:val="multilevel"/>
    <w:tmpl w:val="A48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DF"/>
    <w:rsid w:val="00341C20"/>
    <w:rsid w:val="00475654"/>
    <w:rsid w:val="00E32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1D5D"/>
  <w15:chartTrackingRefBased/>
  <w15:docId w15:val="{84F28F83-498C-427D-A526-131DEEB0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41C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1C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1C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1C20"/>
    <w:rPr>
      <w:b/>
      <w:bCs/>
    </w:rPr>
  </w:style>
  <w:style w:type="character" w:styleId="a5">
    <w:name w:val="Hyperlink"/>
    <w:basedOn w:val="a0"/>
    <w:uiPriority w:val="99"/>
    <w:semiHidden/>
    <w:unhideWhenUsed/>
    <w:rsid w:val="00341C20"/>
    <w:rPr>
      <w:color w:val="0000FF"/>
      <w:u w:val="single"/>
    </w:rPr>
  </w:style>
  <w:style w:type="character" w:customStyle="1" w:styleId="20">
    <w:name w:val="标题 2 字符"/>
    <w:basedOn w:val="a0"/>
    <w:link w:val="2"/>
    <w:uiPriority w:val="9"/>
    <w:rsid w:val="00341C20"/>
    <w:rPr>
      <w:rFonts w:ascii="宋体" w:eastAsia="宋体" w:hAnsi="宋体" w:cs="宋体"/>
      <w:b/>
      <w:bCs/>
      <w:kern w:val="0"/>
      <w:sz w:val="36"/>
      <w:szCs w:val="36"/>
    </w:rPr>
  </w:style>
  <w:style w:type="character" w:customStyle="1" w:styleId="30">
    <w:name w:val="标题 3 字符"/>
    <w:basedOn w:val="a0"/>
    <w:link w:val="3"/>
    <w:uiPriority w:val="9"/>
    <w:rsid w:val="00341C20"/>
    <w:rPr>
      <w:rFonts w:ascii="宋体" w:eastAsia="宋体" w:hAnsi="宋体" w:cs="宋体"/>
      <w:b/>
      <w:bCs/>
      <w:kern w:val="0"/>
      <w:sz w:val="27"/>
      <w:szCs w:val="27"/>
    </w:rPr>
  </w:style>
  <w:style w:type="character" w:styleId="a6">
    <w:name w:val="Emphasis"/>
    <w:basedOn w:val="a0"/>
    <w:uiPriority w:val="20"/>
    <w:qFormat/>
    <w:rsid w:val="00341C20"/>
    <w:rPr>
      <w:i/>
      <w:iCs/>
    </w:rPr>
  </w:style>
  <w:style w:type="character" w:customStyle="1" w:styleId="mt-color-000000">
    <w:name w:val="mt-color-000000"/>
    <w:basedOn w:val="a0"/>
    <w:rsid w:val="00341C20"/>
  </w:style>
  <w:style w:type="paragraph" w:customStyle="1" w:styleId="mt-indent-1">
    <w:name w:val="mt-indent-1"/>
    <w:basedOn w:val="a"/>
    <w:rsid w:val="00341C2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341C20"/>
    <w:pPr>
      <w:ind w:firstLineChars="200" w:firstLine="420"/>
    </w:pPr>
  </w:style>
  <w:style w:type="character" w:customStyle="1" w:styleId="wffiletext">
    <w:name w:val="wf_file_text"/>
    <w:basedOn w:val="a0"/>
    <w:rsid w:val="00341C20"/>
  </w:style>
  <w:style w:type="paragraph" w:styleId="a8">
    <w:name w:val="No Spacing"/>
    <w:uiPriority w:val="1"/>
    <w:qFormat/>
    <w:rsid w:val="00341C2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6945">
      <w:bodyDiv w:val="1"/>
      <w:marLeft w:val="0"/>
      <w:marRight w:val="0"/>
      <w:marTop w:val="0"/>
      <w:marBottom w:val="0"/>
      <w:divBdr>
        <w:top w:val="none" w:sz="0" w:space="0" w:color="auto"/>
        <w:left w:val="none" w:sz="0" w:space="0" w:color="auto"/>
        <w:bottom w:val="none" w:sz="0" w:space="0" w:color="auto"/>
        <w:right w:val="none" w:sz="0" w:space="0" w:color="auto"/>
      </w:divBdr>
    </w:div>
    <w:div w:id="1242063721">
      <w:bodyDiv w:val="1"/>
      <w:marLeft w:val="0"/>
      <w:marRight w:val="0"/>
      <w:marTop w:val="0"/>
      <w:marBottom w:val="0"/>
      <w:divBdr>
        <w:top w:val="none" w:sz="0" w:space="0" w:color="auto"/>
        <w:left w:val="none" w:sz="0" w:space="0" w:color="auto"/>
        <w:bottom w:val="none" w:sz="0" w:space="0" w:color="auto"/>
        <w:right w:val="none" w:sz="0" w:space="0" w:color="auto"/>
      </w:divBdr>
    </w:div>
    <w:div w:id="1268460621">
      <w:bodyDiv w:val="1"/>
      <w:marLeft w:val="0"/>
      <w:marRight w:val="0"/>
      <w:marTop w:val="0"/>
      <w:marBottom w:val="0"/>
      <w:divBdr>
        <w:top w:val="none" w:sz="0" w:space="0" w:color="auto"/>
        <w:left w:val="none" w:sz="0" w:space="0" w:color="auto"/>
        <w:bottom w:val="none" w:sz="0" w:space="0" w:color="auto"/>
        <w:right w:val="none" w:sz="0" w:space="0" w:color="auto"/>
      </w:divBdr>
    </w:div>
    <w:div w:id="1312372181">
      <w:bodyDiv w:val="1"/>
      <w:marLeft w:val="0"/>
      <w:marRight w:val="0"/>
      <w:marTop w:val="0"/>
      <w:marBottom w:val="0"/>
      <w:divBdr>
        <w:top w:val="none" w:sz="0" w:space="0" w:color="auto"/>
        <w:left w:val="none" w:sz="0" w:space="0" w:color="auto"/>
        <w:bottom w:val="none" w:sz="0" w:space="0" w:color="auto"/>
        <w:right w:val="none" w:sz="0" w:space="0" w:color="auto"/>
      </w:divBdr>
    </w:div>
    <w:div w:id="149664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Integrate/ERP_Playbooks/SAP/Accruals_from_Coupa_to_SAP" TargetMode="External"/><Relationship Id="rId13" Type="http://schemas.openxmlformats.org/officeDocument/2006/relationships/image" Target="media/image5.png"/><Relationship Id="rId18" Type="http://schemas.openxmlformats.org/officeDocument/2006/relationships/hyperlink" Target="https://success.coupa.com/@api/deki/files/491/Sample_Data_-_Approval_Chains.xls?revision=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ccess.coupa.com/Integrate/ERP_Playbooks/SAP/Users_from_SAP_to_Coupa"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success.coupa.com/@api/deki/files/492/Sample_Data_-_Lookup_Values.xls?revision=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ccess.coupa.com/Integrate/ERP_Playbooks/SAP/Vendors_from_SAP_to_Coupa" TargetMode="External"/><Relationship Id="rId11" Type="http://schemas.openxmlformats.org/officeDocument/2006/relationships/image" Target="media/image3.png"/><Relationship Id="rId5" Type="http://schemas.openxmlformats.org/officeDocument/2006/relationships/hyperlink" Target="https://success.coupa.com/Integrate/ERP_Playbooks/SAP/Company_Codes_Cost_Centers_and_GL_Account_Code_Combinations_from_SAP_to_Coupa" TargetMode="External"/><Relationship Id="rId15" Type="http://schemas.openxmlformats.org/officeDocument/2006/relationships/hyperlink" Target="https://success.coupa.com/@api/deki/files/493/Sample_Data_-_Users.xls?revision=1" TargetMode="External"/><Relationship Id="rId10" Type="http://schemas.openxmlformats.org/officeDocument/2006/relationships/image" Target="media/image2.png"/><Relationship Id="rId19" Type="http://schemas.openxmlformats.org/officeDocument/2006/relationships/hyperlink" Target="https://success.coupa.com/@api/deki/files/489/Sample_Data_-_Suppliers.txt?revision=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uccess.coupa.com/@api/deki/files/488/Sample_Data_-_Lookup_Values.xls?revis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2020-04-02T03:07:00Z</dcterms:created>
  <dcterms:modified xsi:type="dcterms:W3CDTF">2020-04-02T03:12:00Z</dcterms:modified>
</cp:coreProperties>
</file>