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7105" w14:textId="1C7BC730" w:rsidR="00565799" w:rsidRDefault="00CE683D" w:rsidP="00F4059F">
      <w:pPr>
        <w:shd w:val="clear" w:color="auto" w:fill="FFFFFF"/>
        <w:spacing w:before="100" w:beforeAutospacing="1" w:after="100" w:afterAutospacing="1"/>
        <w:jc w:val="center"/>
        <w:outlineLvl w:val="1"/>
        <w:rPr>
          <w:rFonts w:ascii="var(--EGevE-fontFamily)" w:hAnsi="var(--EGevE-fontFamily)"/>
          <w:b/>
          <w:bCs/>
          <w:color w:val="484A4C"/>
          <w:sz w:val="36"/>
          <w:szCs w:val="36"/>
        </w:rPr>
      </w:pPr>
      <w:r>
        <w:rPr>
          <w:rFonts w:ascii="var(--EGevE-fontFamily)" w:hAnsi="var(--EGevE-fontFamily)"/>
          <w:b/>
          <w:bCs/>
          <w:color w:val="484A4C"/>
          <w:sz w:val="36"/>
          <w:szCs w:val="36"/>
        </w:rPr>
        <w:t>Fitting a</w:t>
      </w:r>
      <w:r w:rsidR="00554F84">
        <w:rPr>
          <w:rFonts w:ascii="var(--EGevE-fontFamily)" w:hAnsi="var(--EGevE-fontFamily)"/>
          <w:b/>
          <w:bCs/>
          <w:color w:val="484A4C"/>
          <w:sz w:val="36"/>
          <w:szCs w:val="36"/>
        </w:rPr>
        <w:t>ftershocks decay: m</w:t>
      </w:r>
      <w:r w:rsidR="00565799">
        <w:rPr>
          <w:rFonts w:ascii="var(--EGevE-fontFamily)" w:hAnsi="var(--EGevE-fontFamily)"/>
          <w:b/>
          <w:bCs/>
          <w:color w:val="484A4C"/>
          <w:sz w:val="36"/>
          <w:szCs w:val="36"/>
        </w:rPr>
        <w:t>ethod paper</w:t>
      </w:r>
    </w:p>
    <w:p w14:paraId="630E26B8" w14:textId="5B63F1CF" w:rsidR="009804C2" w:rsidRPr="009804C2" w:rsidRDefault="009804C2" w:rsidP="00F540CE">
      <w:pPr>
        <w:spacing w:before="100" w:beforeAutospacing="1" w:after="100" w:afterAutospacing="1"/>
        <w:jc w:val="both"/>
        <w:rPr>
          <w:b/>
          <w:bCs/>
        </w:rPr>
      </w:pPr>
      <w:r w:rsidRPr="009804C2">
        <w:rPr>
          <w:b/>
          <w:bCs/>
        </w:rPr>
        <w:t>Intro:</w:t>
      </w:r>
    </w:p>
    <w:p w14:paraId="3BD5FFE7" w14:textId="0EB75C1F" w:rsidR="00D145AA" w:rsidRDefault="00F4568F" w:rsidP="00D145AA">
      <w:pPr>
        <w:spacing w:before="100" w:beforeAutospacing="1" w:after="100" w:afterAutospacing="1"/>
        <w:jc w:val="both"/>
      </w:pPr>
      <w:r w:rsidRPr="00F4568F">
        <w:t>Aftershocks are the most prominent expression of the global relaxation process induced by abrupt perturbations of the state of stress in the neighborhood of seismic ruptures.</w:t>
      </w:r>
      <w:r>
        <w:t xml:space="preserve"> </w:t>
      </w:r>
      <w:r w:rsidRPr="00F4568F">
        <w:t xml:space="preserve">More than 100 years ago, Omori </w:t>
      </w:r>
      <w:r w:rsidR="002203C3">
        <w:t>(</w:t>
      </w:r>
      <w:r w:rsidRPr="00F4568F">
        <w:t>1894</w:t>
      </w:r>
      <w:r w:rsidR="002203C3">
        <w:t>)</w:t>
      </w:r>
      <w:r w:rsidRPr="00F4568F">
        <w:t xml:space="preserve"> provided the first quantitative description of an aftershock decay rate, documenting the number of earthquakes triggered by the </w:t>
      </w:r>
      <w:r w:rsidR="00CE3CAC">
        <w:t>M</w:t>
      </w:r>
      <w:r w:rsidRPr="00F4568F">
        <w:t>8</w:t>
      </w:r>
      <w:r w:rsidR="00CE3CAC">
        <w:t xml:space="preserve"> (magnitude 8)</w:t>
      </w:r>
      <w:r w:rsidRPr="00F4568F">
        <w:t xml:space="preserve"> Nobi earthquake (18 October 1891, Honshu, Japan). To more accurately model the diversity of aftershock decay rates that had been reported later, Utsu </w:t>
      </w:r>
      <w:r w:rsidR="002203C3">
        <w:t>(</w:t>
      </w:r>
      <w:r w:rsidRPr="00F4568F">
        <w:t>1961</w:t>
      </w:r>
      <w:r w:rsidR="002203C3">
        <w:t>)</w:t>
      </w:r>
      <w:r w:rsidRPr="00F4568F">
        <w:t xml:space="preserve"> converted the hyperbolic behavior observed by Omori into the so-called modified Omori law</w:t>
      </w:r>
      <w:r>
        <w:t xml:space="preserve"> (or Omori-Utsu law).</w:t>
      </w:r>
      <w:r w:rsidR="00C95FDC">
        <w:t xml:space="preserve"> </w:t>
      </w:r>
      <w:r w:rsidR="00D145AA" w:rsidRPr="00C95FDC">
        <w:t>The frequency of aftershocks per unit time interval (one hour, one day, one month, etc.) is well represented by the modified Omori formula (</w:t>
      </w:r>
      <w:r w:rsidR="00D145AA">
        <w:t>Utsu</w:t>
      </w:r>
      <w:r w:rsidR="00D145AA" w:rsidRPr="00C95FDC">
        <w:t>, 1961)</w:t>
      </w:r>
      <w:r w:rsidR="00D145AA">
        <w:t xml:space="preserve">, or called Omori-Utsu law, which is formulated as: </w:t>
      </w:r>
    </w:p>
    <w:p w14:paraId="4EFD4F6E" w14:textId="66DD0128" w:rsidR="00010EEB" w:rsidRPr="00010EEB" w:rsidRDefault="00010EEB" w:rsidP="00D145AA">
      <w:pPr>
        <w:spacing w:before="100" w:beforeAutospacing="1" w:after="100" w:afterAutospacing="1"/>
        <w:jc w:val="both"/>
      </w:pPr>
      <m:oMathPara>
        <m:oMath>
          <m:eqArr>
            <m:eqArrPr>
              <m:maxDist m:val="1"/>
              <m:ctrlPr>
                <w:rPr>
                  <w:rFonts w:ascii="Cambria Math" w:hAnsi="Cambria Math"/>
                  <w:i/>
                </w:rPr>
              </m:ctrlPr>
            </m:eqArrPr>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p</m:t>
                      </m:r>
                    </m:sup>
                  </m:sSup>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7CD43297" w14:textId="2ED8430A" w:rsidR="00D145AA" w:rsidRDefault="00D145AA" w:rsidP="00F540CE">
      <w:pPr>
        <w:spacing w:before="100" w:beforeAutospacing="1" w:after="100" w:afterAutospacing="1"/>
        <w:jc w:val="both"/>
      </w:pPr>
      <w:r w:rsidRPr="00CA4E26">
        <w:t xml:space="preserve">where </w:t>
      </w:r>
      <m:oMath>
        <m:r>
          <w:rPr>
            <w:rFonts w:ascii="Cambria Math" w:hAnsi="Cambria Math"/>
          </w:rPr>
          <m:t>n(t)</m:t>
        </m:r>
      </m:oMath>
      <w:r w:rsidRPr="00CA4E26">
        <w:t xml:space="preserve"> is the aftershock </w:t>
      </w:r>
      <w:r>
        <w:t>occurrence (number counts)</w:t>
      </w:r>
      <w:r w:rsidRPr="00CA4E26">
        <w:t xml:space="preserve"> within a given magnitude range, t </w:t>
      </w:r>
      <w:r w:rsidRPr="00C95FDC">
        <w:t>the lapse time from the occurrence of the mainshock</w:t>
      </w:r>
      <w:r w:rsidRPr="00CA4E26">
        <w:t xml:space="preserve"> (the</w:t>
      </w:r>
      <w:r>
        <w:t xml:space="preserve"> event triggering aftershocks</w:t>
      </w:r>
      <w:r w:rsidRPr="00CA4E26">
        <w:t>), K the productivity of the aftershock</w:t>
      </w:r>
      <w:r>
        <w:t xml:space="preserve"> </w:t>
      </w:r>
      <w:r w:rsidRPr="00C26924">
        <w:t>sequence</w:t>
      </w:r>
      <w:r>
        <w:t xml:space="preserve"> which </w:t>
      </w:r>
      <w:r w:rsidRPr="00C95FDC">
        <w:t>depends on the magnitude of the mainshock and the lower bound of the magnitude of aftershocks counted,</w:t>
      </w:r>
      <w:r w:rsidRPr="00C26924">
        <w:t xml:space="preserve"> p the power law exponent, and c the time delay before the onset of the power-law aftershock decay rate.</w:t>
      </w:r>
      <w:r>
        <w:t xml:space="preserve"> There are three unknown parameters here I want to estimate, i.e., K, c, and p. The typical type of Omori-Utsu law is like Figure 1</w:t>
      </w:r>
      <w:r w:rsidR="00FB709C">
        <w:t xml:space="preserve"> and Figure 2, where the number of aftershocks decay as a power law </w:t>
      </w:r>
      <w:r>
        <w:t xml:space="preserve">after </w:t>
      </w:r>
      <w:r w:rsidR="00CE3CAC">
        <w:t>September</w:t>
      </w:r>
      <w:r>
        <w:t xml:space="preserve"> 2</w:t>
      </w:r>
      <w:r w:rsidR="00CE3CAC">
        <w:t>8</w:t>
      </w:r>
      <w:r>
        <w:t>, 20</w:t>
      </w:r>
      <w:r w:rsidR="00CE3CAC">
        <w:t>04</w:t>
      </w:r>
      <w:r>
        <w:t xml:space="preserve"> </w:t>
      </w:r>
      <w:r w:rsidR="00CE3CAC">
        <w:t>Parkfield</w:t>
      </w:r>
      <w:r>
        <w:t xml:space="preserve"> Earthquake.</w:t>
      </w:r>
    </w:p>
    <w:p w14:paraId="64BFB602" w14:textId="1C39830B" w:rsidR="004E07D9" w:rsidRPr="00F4568F" w:rsidRDefault="00C95FDC" w:rsidP="00F540CE">
      <w:pPr>
        <w:spacing w:before="100" w:beforeAutospacing="1" w:after="100" w:afterAutospacing="1"/>
        <w:jc w:val="both"/>
      </w:pPr>
      <w:r w:rsidRPr="00C95FDC">
        <w:t xml:space="preserve">According to </w:t>
      </w:r>
      <w:r>
        <w:t>Utsu</w:t>
      </w:r>
      <w:r w:rsidRPr="00C95FDC">
        <w:t xml:space="preserve"> (1969), for the case of Japanese aftershock sequences, the constant c </w:t>
      </w:r>
      <w:r w:rsidR="00CE3A73">
        <w:t>was</w:t>
      </w:r>
      <w:r w:rsidRPr="00C95FDC">
        <w:t xml:space="preserve"> small, 1 day at most, and p varie</w:t>
      </w:r>
      <w:r w:rsidR="00CE3A73">
        <w:t>d</w:t>
      </w:r>
      <w:r w:rsidRPr="00C95FDC">
        <w:t xml:space="preserve"> in the range 0.9-1.9 with values between 1.0 and 1.4 most frequently.</w:t>
      </w:r>
      <w:r>
        <w:t xml:space="preserve"> </w:t>
      </w:r>
      <w:r w:rsidRPr="00C95FDC">
        <w:t xml:space="preserve">The value p </w:t>
      </w:r>
      <w:r w:rsidR="00CE3A73">
        <w:t>was</w:t>
      </w:r>
      <w:r w:rsidRPr="00C95FDC">
        <w:t xml:space="preserve"> thought to reflect mechanical conditions of the earth's crust. For example, </w:t>
      </w:r>
      <w:r>
        <w:t>Mogi</w:t>
      </w:r>
      <w:r w:rsidRPr="00C95FDC">
        <w:t xml:space="preserve"> (1962) demonstrated a certain systematic regional variation of p value in Japan which could be attributed to regional variation of surface heat-flow values. He </w:t>
      </w:r>
      <w:r w:rsidR="00CE3A73">
        <w:t>thought</w:t>
      </w:r>
      <w:r w:rsidRPr="00C95FDC">
        <w:t xml:space="preserve"> that aftershock activity decays faster, namely the stress relaxes faster, in regions of higher crustal temperature. Later, a similar correlation </w:t>
      </w:r>
      <w:r w:rsidR="00CE3A73">
        <w:t>was</w:t>
      </w:r>
      <w:r w:rsidRPr="00C95FDC">
        <w:t xml:space="preserve"> </w:t>
      </w:r>
      <w:r w:rsidR="002F7430">
        <w:t xml:space="preserve">also </w:t>
      </w:r>
      <w:r w:rsidRPr="00C95FDC">
        <w:t xml:space="preserve">discussed by </w:t>
      </w:r>
      <w:r>
        <w:t>Kisslinger</w:t>
      </w:r>
      <w:r w:rsidRPr="00C95FDC">
        <w:t xml:space="preserve"> and </w:t>
      </w:r>
      <w:r>
        <w:t>Jones</w:t>
      </w:r>
      <w:r w:rsidRPr="00C95FDC">
        <w:t xml:space="preserve"> (1991)</w:t>
      </w:r>
      <w:r w:rsidR="00686912">
        <w:t>.</w:t>
      </w:r>
    </w:p>
    <w:p w14:paraId="27040D53" w14:textId="2AD82DA7" w:rsidR="00300C3C" w:rsidRPr="00300C3C" w:rsidRDefault="00BA573E" w:rsidP="00F540CE">
      <w:pPr>
        <w:spacing w:before="100" w:beforeAutospacing="1" w:after="100" w:afterAutospacing="1"/>
        <w:jc w:val="both"/>
        <w:rPr>
          <w:b/>
          <w:bCs/>
        </w:rPr>
      </w:pPr>
      <w:r>
        <w:rPr>
          <w:b/>
          <w:bCs/>
        </w:rPr>
        <w:t>Dataset:</w:t>
      </w:r>
    </w:p>
    <w:p w14:paraId="4DF3EF06" w14:textId="685A196C" w:rsidR="003C324F" w:rsidRDefault="003C324F" w:rsidP="00F540CE">
      <w:pPr>
        <w:spacing w:before="100" w:beforeAutospacing="1" w:after="100" w:afterAutospacing="1"/>
        <w:jc w:val="both"/>
      </w:pPr>
      <w:r>
        <w:t xml:space="preserve">The dataset of this </w:t>
      </w:r>
      <w:r w:rsidR="00CA4E26">
        <w:t xml:space="preserve">class </w:t>
      </w:r>
      <w:r>
        <w:t xml:space="preserve">project is acquired from </w:t>
      </w:r>
      <w:r w:rsidRPr="003C324F">
        <w:t>Northern California Earthquake C</w:t>
      </w:r>
      <w:r w:rsidR="00CA4E26">
        <w:t>enter</w:t>
      </w:r>
      <w:r w:rsidR="00C7038F">
        <w:t xml:space="preserve"> (</w:t>
      </w:r>
      <w:r w:rsidR="00C7038F" w:rsidRPr="003C324F">
        <w:t>Waldhauser</w:t>
      </w:r>
      <w:r w:rsidR="00C7038F">
        <w:t xml:space="preserve"> and </w:t>
      </w:r>
      <w:r w:rsidR="00C7038F" w:rsidRPr="003C324F">
        <w:t>Schaff</w:t>
      </w:r>
      <w:r w:rsidR="00C7038F">
        <w:t>,</w:t>
      </w:r>
      <w:r w:rsidR="00C7038F">
        <w:t xml:space="preserve"> 2008</w:t>
      </w:r>
      <w:r w:rsidR="00C7038F">
        <w:t>; Waldhauser, 2009)</w:t>
      </w:r>
      <w:r w:rsidR="00CA4E26">
        <w:t>.</w:t>
      </w:r>
      <w:r>
        <w:t xml:space="preserve"> </w:t>
      </w:r>
      <w:r w:rsidR="00CA4E26">
        <w:t>I further select a subset of this dataset so that it covers earthquakes</w:t>
      </w:r>
      <w:r>
        <w:t xml:space="preserve"> </w:t>
      </w:r>
      <w:r w:rsidR="00CA4E26">
        <w:t xml:space="preserve">record (time, location, magnitude, etc.) from </w:t>
      </w:r>
      <w:r>
        <w:t xml:space="preserve">1984–present </w:t>
      </w:r>
      <w:r w:rsidR="00FB709C">
        <w:t>within some radius distance</w:t>
      </w:r>
      <w:r w:rsidR="00FB709C">
        <w:t xml:space="preserve"> from </w:t>
      </w:r>
      <w:r w:rsidR="00CA4E26">
        <w:t xml:space="preserve">the location of </w:t>
      </w:r>
      <w:r w:rsidR="00FB709C">
        <w:t>some intermediate-size well-recorded earthquakes</w:t>
      </w:r>
      <w:r w:rsidR="00FB709C">
        <w:t xml:space="preserve">, including: 1985 M6.1 Kettleman Hills earthquake, 1989 M6.9 Loma Prieta earthquake, 2004 M6.0 Parkfield earthquake, 2011 M2.7 Prague earthquake, and 2019 M7.1 Ridgecrest earthquake. The earthquake catalogs are truncated such that it contains earthquakes only after the mainshock all the way to the latest records in 2020. For the quality control, </w:t>
      </w:r>
      <w:r w:rsidR="00FB709C">
        <w:t>we</w:t>
      </w:r>
      <w:r w:rsidR="00FB709C">
        <w:t xml:space="preserve"> consider a minimum magnitude </w:t>
      </w:r>
      <w:r w:rsidR="00FB709C">
        <w:t xml:space="preserve">M1.5 </w:t>
      </w:r>
      <w:r w:rsidR="00FB709C">
        <w:t>which accounts for the completeness of the dataset.</w:t>
      </w:r>
      <w:r w:rsidR="00A45BD6">
        <w:t xml:space="preserve"> More details are in the method part.</w:t>
      </w:r>
    </w:p>
    <w:p w14:paraId="46BE9D92" w14:textId="604331B4" w:rsidR="00CA4E26" w:rsidRPr="00CA4E26" w:rsidRDefault="00BA573E" w:rsidP="00D145AA">
      <w:pPr>
        <w:rPr>
          <w:b/>
          <w:bCs/>
        </w:rPr>
      </w:pPr>
      <w:r>
        <w:rPr>
          <w:b/>
          <w:bCs/>
        </w:rPr>
        <w:lastRenderedPageBreak/>
        <w:t>Method:</w:t>
      </w:r>
    </w:p>
    <w:p w14:paraId="26B8EA7D" w14:textId="77777777" w:rsidR="002D0C3D" w:rsidRDefault="002D0C3D"/>
    <w:p w14:paraId="4CF01D58" w14:textId="795FD740" w:rsidR="00661E9E" w:rsidRDefault="003317DE" w:rsidP="00661E9E">
      <w:pPr>
        <w:jc w:val="both"/>
      </w:pPr>
      <w:r>
        <w:t>Since there already exits a parametric form of the model</w:t>
      </w:r>
      <w:r w:rsidR="00B6295F">
        <w:t xml:space="preserve"> (Equation 1)</w:t>
      </w:r>
      <w:r>
        <w:t xml:space="preserve">, the rest of the problem is simply how to fit the model to the data and find the best-fit model parameters. </w:t>
      </w:r>
      <w:r w:rsidR="00661E9E" w:rsidRPr="00661E9E">
        <w:t xml:space="preserve">Traditionally, estimates of the parameter p had been obtained since </w:t>
      </w:r>
      <w:r w:rsidR="00661E9E">
        <w:t>Utsu</w:t>
      </w:r>
      <w:r w:rsidR="00661E9E" w:rsidRPr="00661E9E">
        <w:t xml:space="preserve"> (1961) in the following way. Plot n</w:t>
      </w:r>
      <w:r w:rsidR="00661E9E">
        <w:t>(</w:t>
      </w:r>
      <w:r w:rsidR="00661E9E" w:rsidRPr="00661E9E">
        <w:t>t) versus the lapse time t on a log-log scaled plane and then fit an</w:t>
      </w:r>
      <w:r w:rsidR="00661E9E">
        <w:t xml:space="preserve"> </w:t>
      </w:r>
      <w:r w:rsidR="00661E9E" w:rsidRPr="00661E9E">
        <w:t>asymptotic straight line; the slope of the line is an estimate for p. The values of c can be determined by a na</w:t>
      </w:r>
      <w:r w:rsidR="00661E9E">
        <w:t>i</w:t>
      </w:r>
      <w:r w:rsidR="00661E9E" w:rsidRPr="00661E9E">
        <w:t>ve empirical technique. Such analysis was based on the time series of counted numbers of aftershocks, while directly based on the occurrence times of aftershocks</w:t>
      </w:r>
      <w:r>
        <w:t>.</w:t>
      </w:r>
      <w:r w:rsidR="00661E9E" w:rsidRPr="00661E9E">
        <w:t xml:space="preserve"> </w:t>
      </w:r>
      <w:r>
        <w:t xml:space="preserve">On the other hand, </w:t>
      </w:r>
      <w:r w:rsidR="00661E9E">
        <w:t>Ogata</w:t>
      </w:r>
      <w:r w:rsidR="00661E9E" w:rsidRPr="00661E9E">
        <w:t xml:space="preserve"> (1983), proposed the following method to estimate the three parameters of the modified Omori </w:t>
      </w:r>
      <w:r w:rsidR="00991474">
        <w:t>law</w:t>
      </w:r>
      <w:r w:rsidR="00661E9E" w:rsidRPr="00661E9E">
        <w:t>.</w:t>
      </w:r>
    </w:p>
    <w:p w14:paraId="5D9E384E" w14:textId="0D0765DD" w:rsidR="00C95FDC" w:rsidRDefault="00C95FDC" w:rsidP="00661E9E">
      <w:pPr>
        <w:jc w:val="both"/>
      </w:pPr>
    </w:p>
    <w:p w14:paraId="6FDB8F59" w14:textId="10A7E708" w:rsidR="00661E9E" w:rsidRDefault="00661E9E" w:rsidP="00661E9E">
      <w:pPr>
        <w:jc w:val="both"/>
      </w:pPr>
      <w:r w:rsidRPr="00661E9E">
        <w:t>Consider occurrence times of aftershock sequence {t</w:t>
      </w:r>
      <w:r>
        <w:rPr>
          <w:vertAlign w:val="subscript"/>
        </w:rPr>
        <w:t>1</w:t>
      </w:r>
      <w:r w:rsidRPr="00661E9E">
        <w:t>, t</w:t>
      </w:r>
      <w:r>
        <w:rPr>
          <w:vertAlign w:val="subscript"/>
        </w:rPr>
        <w:t>2</w:t>
      </w:r>
      <w:r>
        <w:t>,</w:t>
      </w:r>
      <w:r w:rsidRPr="00661E9E">
        <w:t xml:space="preserve"> ... , t</w:t>
      </w:r>
      <w:r>
        <w:rPr>
          <w:vertAlign w:val="subscript"/>
        </w:rPr>
        <w:t>N</w:t>
      </w:r>
      <w:r w:rsidRPr="00661E9E">
        <w:t xml:space="preserve">} in a time interval [S, T], in which the origin of the time axis, t = 0, corresponds to the occurrence time of the mainshock. </w:t>
      </w:r>
      <w:r w:rsidR="00991474">
        <w:t>Then a</w:t>
      </w:r>
      <w:r w:rsidRPr="00661E9E">
        <w:t>ssume that the aftershock sequence is distributed according to a nonstationary Poisson process with the intensity function</w:t>
      </w:r>
      <w:r w:rsidR="00991474">
        <w:t>:</w:t>
      </w:r>
    </w:p>
    <w:p w14:paraId="1456CB3E" w14:textId="2CD0C824" w:rsidR="00991474" w:rsidRPr="00010EEB" w:rsidRDefault="00010EEB" w:rsidP="00661E9E">
      <w:pPr>
        <w:jc w:val="both"/>
      </w:pPr>
      <m:oMathPara>
        <m:oMath>
          <m:eqArr>
            <m:eqArrPr>
              <m:maxDist m:val="1"/>
              <m:ctrlPr>
                <w:rPr>
                  <w:rFonts w:ascii="Cambria Math" w:hAnsi="Cambria Math"/>
                  <w:i/>
                </w:rPr>
              </m:ctrlPr>
            </m:eqArrPr>
            <m:e>
              <m:r>
                <w:rPr>
                  <w:rFonts w:ascii="Cambria Math" w:hAnsi="Cambria Math"/>
                </w:rPr>
                <m:t>λ</m:t>
              </m:r>
              <m:d>
                <m:dPr>
                  <m:ctrlPr>
                    <w:rPr>
                      <w:rFonts w:ascii="Cambria Math" w:hAnsi="Cambria Math"/>
                      <w:i/>
                    </w:rPr>
                  </m:ctrlPr>
                </m:dPr>
                <m:e>
                  <m:r>
                    <w:rPr>
                      <w:rFonts w:ascii="Cambria Math" w:hAnsi="Cambria Math"/>
                    </w:rPr>
                    <m:t>t, θ</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p</m:t>
                      </m:r>
                    </m:sup>
                  </m:sSup>
                </m:den>
              </m:f>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468A493E" w14:textId="77777777" w:rsidR="00010EEB" w:rsidRPr="00010EEB" w:rsidRDefault="00010EEB" w:rsidP="00661E9E">
      <w:pPr>
        <w:jc w:val="both"/>
      </w:pPr>
    </w:p>
    <w:p w14:paraId="46AE7376" w14:textId="77777777" w:rsidR="000B7178" w:rsidRDefault="000B7178" w:rsidP="00661E9E">
      <w:pPr>
        <w:jc w:val="both"/>
      </w:pPr>
    </w:p>
    <w:p w14:paraId="3F4FE9F0" w14:textId="4F3BDD87" w:rsidR="00991474" w:rsidRDefault="00991474" w:rsidP="00661E9E">
      <w:pPr>
        <w:jc w:val="both"/>
      </w:pPr>
      <w:r>
        <w:t>where</w:t>
      </w:r>
    </w:p>
    <w:p w14:paraId="09688F19" w14:textId="130C2F4F" w:rsidR="00991474" w:rsidRPr="00991474" w:rsidRDefault="00991474" w:rsidP="00661E9E">
      <w:pPr>
        <w:jc w:val="both"/>
      </w:pPr>
      <m:oMathPara>
        <m:oMath>
          <m:r>
            <w:rPr>
              <w:rFonts w:ascii="Cambria Math" w:hAnsi="Cambria Math"/>
            </w:rPr>
            <m:t>θ=(c, K, p)</m:t>
          </m:r>
        </m:oMath>
      </m:oMathPara>
    </w:p>
    <w:p w14:paraId="5F4219EE" w14:textId="77777777" w:rsidR="00991474" w:rsidRDefault="00991474" w:rsidP="00661E9E">
      <w:pPr>
        <w:jc w:val="both"/>
      </w:pPr>
    </w:p>
    <w:p w14:paraId="397D278E" w14:textId="2E01E0C6" w:rsidR="00991474" w:rsidRDefault="00991474" w:rsidP="00661E9E">
      <w:pPr>
        <w:jc w:val="both"/>
      </w:pPr>
      <w:r>
        <w:t>Now this looks just like the Omori law</w:t>
      </w:r>
      <w:r w:rsidR="00A023BF">
        <w:t xml:space="preserve"> in Equation (1)</w:t>
      </w:r>
      <w:r>
        <w:t>. Then the log-likelihood function of this intensity function (i.e., the aftershock sequence occurrence) can be written by:</w:t>
      </w:r>
    </w:p>
    <w:p w14:paraId="43925AA1" w14:textId="60ABA163" w:rsidR="00010EEB" w:rsidRPr="00010EEB" w:rsidRDefault="00010EEB" w:rsidP="00661E9E">
      <w:pPr>
        <w:jc w:val="both"/>
      </w:pPr>
      <m:oMathPara>
        <m:oMath>
          <m:eqArr>
            <m:eqArrPr>
              <m:maxDist m:val="1"/>
              <m:ctrlPr>
                <w:rPr>
                  <w:rFonts w:ascii="Cambria Math" w:hAnsi="Cambria Math"/>
                  <w:i/>
                </w:rPr>
              </m:ctrlPr>
            </m:eqArrPr>
            <m:e>
              <m:r>
                <w:rPr>
                  <w:rFonts w:ascii="Cambria Math" w:hAnsi="Cambria Math"/>
                </w:rPr>
                <m:t>logL</m:t>
              </m:r>
              <m:d>
                <m:dPr>
                  <m:ctrlPr>
                    <w:rPr>
                      <w:rFonts w:ascii="Cambria Math" w:hAnsi="Cambria Math"/>
                      <w:i/>
                    </w:rPr>
                  </m:ctrlPr>
                </m:dPr>
                <m:e>
                  <m:r>
                    <w:rPr>
                      <w:rFonts w:ascii="Cambria Math" w:hAnsi="Cambria Math"/>
                    </w:rPr>
                    <m:t>c,K,p</m:t>
                  </m:r>
                </m:e>
              </m:d>
              <m:r>
                <w:rPr>
                  <w:rFonts w:ascii="Cambria Math" w:hAnsi="Cambria Math"/>
                </w:rPr>
                <m:t>=NlogK-p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d>
                    </m:e>
                  </m:func>
                  <m:r>
                    <w:rPr>
                      <w:rFonts w:ascii="Cambria Math" w:hAnsi="Cambria Math"/>
                    </w:rPr>
                    <m:t>-K</m:t>
                  </m:r>
                  <m:r>
                    <m:rPr>
                      <m:sty m:val="p"/>
                    </m:rPr>
                    <w:rPr>
                      <w:rFonts w:ascii="Cambria Math" w:hAnsi="Cambria Math"/>
                    </w:rPr>
                    <m:t>Λ</m:t>
                  </m:r>
                  <m:d>
                    <m:dPr>
                      <m:ctrlPr>
                        <w:rPr>
                          <w:rFonts w:ascii="Cambria Math" w:hAnsi="Cambria Math"/>
                          <w:i/>
                        </w:rPr>
                      </m:ctrlPr>
                    </m:dPr>
                    <m:e>
                      <m:r>
                        <w:rPr>
                          <w:rFonts w:ascii="Cambria Math" w:hAnsi="Cambria Math"/>
                        </w:rPr>
                        <m:t>c,p</m:t>
                      </m:r>
                    </m:e>
                  </m:d>
                </m:e>
              </m:nary>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6703EE53" w14:textId="77777777" w:rsidR="00010EEB" w:rsidRPr="00010EEB" w:rsidRDefault="00010EEB" w:rsidP="00661E9E">
      <w:pPr>
        <w:jc w:val="both"/>
      </w:pPr>
    </w:p>
    <w:p w14:paraId="658E0895" w14:textId="77777777" w:rsidR="0084590B" w:rsidRDefault="0084590B" w:rsidP="00661E9E">
      <w:pPr>
        <w:jc w:val="both"/>
      </w:pPr>
    </w:p>
    <w:p w14:paraId="5CE81A0A" w14:textId="281ADE0F" w:rsidR="000B7178" w:rsidRDefault="0084590B" w:rsidP="00661E9E">
      <w:pPr>
        <w:jc w:val="both"/>
      </w:pPr>
      <w:r>
        <w:t>where N is the total number of aftershocks within the evaluated time window</w:t>
      </w:r>
      <w:r w:rsidR="00846C5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r w:rsidR="00846C5F">
        <w:t xml:space="preserve">corresponds to occurrence time of a particular aftershock after the mainshock (in days) </w:t>
      </w:r>
      <w:r>
        <w:t xml:space="preserve">and </w:t>
      </w:r>
    </w:p>
    <w:p w14:paraId="3B5BAAF0" w14:textId="567AD84B" w:rsidR="00991474" w:rsidRDefault="00991474" w:rsidP="00661E9E">
      <w:pPr>
        <w:jc w:val="both"/>
      </w:pPr>
    </w:p>
    <w:p w14:paraId="421B898A" w14:textId="293C0651" w:rsidR="00991474" w:rsidRPr="00010EEB" w:rsidRDefault="00010EEB" w:rsidP="00661E9E">
      <w:pPr>
        <w:jc w:val="both"/>
      </w:pPr>
      <m:oMathPara>
        <m:oMath>
          <m:eqArr>
            <m:eqArrPr>
              <m:maxDist m:val="1"/>
              <m:ctrlPr>
                <w:rPr>
                  <w:rFonts w:ascii="Cambria Math" w:hAnsi="Cambria Math"/>
                  <w:i/>
                </w:rPr>
              </m:ctrlPr>
            </m:eqArrPr>
            <m:e>
              <m:r>
                <m:rPr>
                  <m:sty m:val="p"/>
                </m:rPr>
                <w:rPr>
                  <w:rFonts w:ascii="Cambria Math" w:hAnsi="Cambria Math"/>
                </w:rPr>
                <m:t>Λ</m:t>
              </m:r>
              <m:d>
                <m:dPr>
                  <m:ctrlPr>
                    <w:rPr>
                      <w:rFonts w:ascii="Cambria Math" w:hAnsi="Cambria Math"/>
                      <w:i/>
                    </w:rPr>
                  </m:ctrlPr>
                </m:dPr>
                <m:e>
                  <m:r>
                    <w:rPr>
                      <w:rFonts w:ascii="Cambria Math" w:hAnsi="Cambria Math"/>
                    </w:rPr>
                    <m:t>c,p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1-p</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1-p</m:t>
                              </m:r>
                            </m:sup>
                          </m:sSup>
                        </m:num>
                        <m:den>
                          <m:r>
                            <w:rPr>
                              <w:rFonts w:ascii="Cambria Math" w:hAnsi="Cambria Math"/>
                            </w:rPr>
                            <m:t>1-p</m:t>
                          </m:r>
                        </m:den>
                      </m:f>
                      <m:r>
                        <w:rPr>
                          <w:rFonts w:ascii="Cambria Math" w:hAnsi="Cambria Math"/>
                        </w:rPr>
                        <m:t xml:space="preserve">  &amp;</m:t>
                      </m:r>
                      <m:r>
                        <w:rPr>
                          <w:rFonts w:ascii="Cambria Math" w:hAnsi="Cambria Math"/>
                        </w:rPr>
                        <m:t>for p≠1</m:t>
                      </m:r>
                    </m:e>
                    <m:e>
                      <m:ctrlPr>
                        <w:rPr>
                          <w:rFonts w:ascii="Cambria Math" w:eastAsia="Cambria Math" w:hAnsi="Cambria Math" w:cs="Cambria Math"/>
                          <w:i/>
                        </w:rPr>
                      </m:ctrlPr>
                    </m:e>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T+c</m:t>
                              </m:r>
                            </m:e>
                          </m:d>
                        </m:e>
                      </m:func>
                      <m:r>
                        <w:rPr>
                          <w:rFonts w:ascii="Cambria Math" w:hAnsi="Cambria Math"/>
                        </w:rPr>
                        <m:t>-</m:t>
                      </m:r>
                      <m:r>
                        <m:rPr>
                          <m:sty m:val="p"/>
                        </m:rPr>
                        <w:rPr>
                          <w:rFonts w:ascii="Cambria Math" w:hAnsi="Cambria Math"/>
                        </w:rPr>
                        <m:t>log⁡</m:t>
                      </m:r>
                      <m:r>
                        <w:rPr>
                          <w:rFonts w:ascii="Cambria Math" w:hAnsi="Cambria Math"/>
                        </w:rPr>
                        <m:t>(S+c)</m:t>
                      </m:r>
                      <m:r>
                        <w:rPr>
                          <w:rFonts w:ascii="Cambria Math" w:hAnsi="Cambria Math"/>
                        </w:rPr>
                        <m:t>,  &amp;</m:t>
                      </m:r>
                      <m:r>
                        <w:rPr>
                          <w:rFonts w:ascii="Cambria Math" w:hAnsi="Cambria Math"/>
                        </w:rPr>
                        <m:t>for p=1</m:t>
                      </m:r>
                    </m:e>
                  </m:eqArr>
                </m:e>
              </m: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5CEAEB0F" w14:textId="77777777" w:rsidR="00010EEB" w:rsidRPr="00010EEB" w:rsidRDefault="00010EEB" w:rsidP="00661E9E">
      <w:pPr>
        <w:jc w:val="both"/>
      </w:pPr>
    </w:p>
    <w:p w14:paraId="55000B1B" w14:textId="7DB6F667" w:rsidR="00991474" w:rsidRDefault="00991474" w:rsidP="00661E9E">
      <w:pPr>
        <w:jc w:val="both"/>
      </w:pPr>
    </w:p>
    <w:p w14:paraId="6F17C753" w14:textId="5ACCC9C7" w:rsidR="00991474" w:rsidRDefault="0094312C" w:rsidP="00661E9E">
      <w:pPr>
        <w:jc w:val="both"/>
      </w:pPr>
      <w:r>
        <w:t xml:space="preserve">Maximizing the log-likelihood function here with respect to the parameters </w:t>
      </w:r>
      <m:oMath>
        <m:r>
          <w:rPr>
            <w:rFonts w:ascii="Cambria Math" w:hAnsi="Cambria Math"/>
          </w:rPr>
          <m:t>θ=(c, K, p)</m:t>
        </m:r>
      </m:oMath>
      <w:r>
        <w:t xml:space="preserve"> will give us the maximum likelihood estimates </w:t>
      </w:r>
      <m:oMath>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c</m:t>
            </m:r>
          </m:e>
        </m:acc>
        <m:r>
          <w:rPr>
            <w:rFonts w:ascii="Cambria Math" w:hAnsi="Cambria Math"/>
          </w:rPr>
          <m:t xml:space="preserve">, </m:t>
        </m:r>
        <m:acc>
          <m:accPr>
            <m:ctrlPr>
              <w:rPr>
                <w:rFonts w:ascii="Cambria Math" w:hAnsi="Cambria Math"/>
                <w:i/>
              </w:rPr>
            </m:ctrlPr>
          </m:accPr>
          <m:e>
            <m:r>
              <w:rPr>
                <w:rFonts w:ascii="Cambria Math" w:hAnsi="Cambria Math"/>
              </w:rPr>
              <m:t>K</m:t>
            </m:r>
          </m:e>
        </m:acc>
        <m:r>
          <w:rPr>
            <w:rFonts w:ascii="Cambria Math" w:hAnsi="Cambria Math"/>
          </w:rPr>
          <m:t xml:space="preserve">, </m:t>
        </m:r>
        <m:acc>
          <m:accPr>
            <m:ctrlPr>
              <w:rPr>
                <w:rFonts w:ascii="Cambria Math" w:hAnsi="Cambria Math"/>
                <w:i/>
              </w:rPr>
            </m:ctrlPr>
          </m:accPr>
          <m:e>
            <m:r>
              <w:rPr>
                <w:rFonts w:ascii="Cambria Math" w:hAnsi="Cambria Math"/>
              </w:rPr>
              <m:t>p</m:t>
            </m:r>
          </m:e>
        </m:acc>
        <m:r>
          <w:rPr>
            <w:rFonts w:ascii="Cambria Math" w:hAnsi="Cambria Math"/>
          </w:rPr>
          <m:t>)</m:t>
        </m:r>
      </m:oMath>
      <w:r w:rsidR="00837D98">
        <w:t xml:space="preserve">. This </w:t>
      </w:r>
      <w:r w:rsidR="00837D98" w:rsidRPr="00837D98">
        <w:t xml:space="preserve">maximum likelihood procedure also has the advantage of providing us estimates for the standard errors of the MLE as a byproduct. Specifically, the inverse of the Fisher information matrix </w:t>
      </w:r>
      <m:oMath>
        <m:r>
          <w:rPr>
            <w:rFonts w:ascii="Cambria Math" w:hAnsi="Cambria Math"/>
          </w:rPr>
          <m:t>J</m:t>
        </m:r>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,S,T)</m:t>
            </m:r>
          </m:e>
          <m:sup>
            <m:r>
              <w:rPr>
                <w:rFonts w:ascii="Cambria Math" w:hAnsi="Cambria Math"/>
              </w:rPr>
              <m:t>-1</m:t>
            </m:r>
          </m:sup>
        </m:sSup>
      </m:oMath>
      <w:r w:rsidR="00603F69">
        <w:t xml:space="preserve"> </w:t>
      </w:r>
      <w:r w:rsidR="00837D98" w:rsidRPr="00837D98">
        <w:t>provides the covariance matrix of the errors of the MLE</w:t>
      </w:r>
      <w:r w:rsidR="005F3572">
        <w:t>.</w:t>
      </w:r>
      <w:r w:rsidR="000B7178">
        <w:t xml:space="preserve"> So, the uncertainty is </w:t>
      </w:r>
      <w:r w:rsidR="000B7178" w:rsidRPr="000B7178">
        <w:t>evaluated by asymptotic statistics using the Fischer information matrix</w:t>
      </w:r>
      <w:r w:rsidR="000B7178">
        <w:t xml:space="preserve">. </w:t>
      </w:r>
    </w:p>
    <w:p w14:paraId="1662CDC9" w14:textId="677D4ECA" w:rsidR="000B7178" w:rsidRDefault="000B7178" w:rsidP="00661E9E">
      <w:pPr>
        <w:jc w:val="both"/>
      </w:pPr>
    </w:p>
    <w:p w14:paraId="4D44931E" w14:textId="4B3910FB" w:rsidR="000B7178" w:rsidRDefault="000B7178" w:rsidP="00661E9E">
      <w:pPr>
        <w:jc w:val="both"/>
      </w:pPr>
      <w:r w:rsidRPr="000B7178">
        <w:lastRenderedPageBreak/>
        <w:t xml:space="preserve">Nevertheless, </w:t>
      </w:r>
      <w:r w:rsidR="000348B0">
        <w:t xml:space="preserve">it is also claimed that (Holschneider et al., 2012) the </w:t>
      </w:r>
      <w:r w:rsidR="000348B0" w:rsidRPr="00837D98">
        <w:t>standard errors of the MLE</w:t>
      </w:r>
      <w:r w:rsidRPr="000B7178">
        <w:t xml:space="preserve"> cannot be considered as parameter uncertainties but rather as the variability of the estimator under surrogate data as obtained by the bootstrapping process. If only one single realization is available, bootstrapping is a common technique to simulate the sampling from the unknown underlying data generating distribution.</w:t>
      </w:r>
      <w:r w:rsidR="000348B0">
        <w:t xml:space="preserve"> It only</w:t>
      </w:r>
      <w:r w:rsidR="000348B0" w:rsidRPr="000348B0">
        <w:t xml:space="preserve"> quantifies the variability of the estimation process, </w:t>
      </w:r>
      <w:r w:rsidR="000348B0">
        <w:t xml:space="preserve">instead of giving the </w:t>
      </w:r>
      <w:r w:rsidR="000348B0" w:rsidRPr="000348B0">
        <w:t xml:space="preserve">credibility regions in the space of parameters. This is crucial, </w:t>
      </w:r>
      <w:r w:rsidR="000348B0">
        <w:t xml:space="preserve">particular </w:t>
      </w:r>
      <w:r w:rsidR="000348B0" w:rsidRPr="000348B0">
        <w:t>for aftershock sequences with a small number of events</w:t>
      </w:r>
      <w:r w:rsidR="000348B0">
        <w:t>.</w:t>
      </w:r>
    </w:p>
    <w:p w14:paraId="674D56E8" w14:textId="1D0BF5D3" w:rsidR="00C10025" w:rsidRDefault="00C10025" w:rsidP="00661E9E">
      <w:pPr>
        <w:jc w:val="both"/>
      </w:pPr>
    </w:p>
    <w:p w14:paraId="3D94FFEA" w14:textId="46196504" w:rsidR="00C10025" w:rsidRDefault="00C10025" w:rsidP="00C10025">
      <w:pPr>
        <w:jc w:val="both"/>
      </w:pPr>
      <w:r>
        <w:t xml:space="preserve">Therefore, in order to get the proper estimations on the uncertainties of the parameters </w:t>
      </w:r>
      <m:oMath>
        <m:r>
          <w:rPr>
            <w:rFonts w:ascii="Cambria Math" w:hAnsi="Cambria Math"/>
          </w:rPr>
          <m:t>θ=(c, K, p)</m:t>
        </m:r>
      </m:oMath>
      <w:r>
        <w:t xml:space="preserve">, I first use the log-likelihood function formulated by Ogata (1983) and apply the MLE method using a regular </w:t>
      </w:r>
      <w:r w:rsidRPr="00C10025">
        <w:rPr>
          <w:rFonts w:ascii="Courier" w:eastAsia="Arial Unicode MS" w:hAnsi="Courier" w:cs="Arial Unicode MS"/>
        </w:rPr>
        <w:t>python</w:t>
      </w:r>
      <w:r>
        <w:t xml:space="preserve"> minimizer </w:t>
      </w:r>
      <w:r w:rsidRPr="00C10025">
        <w:rPr>
          <w:rFonts w:ascii="Courier" w:hAnsi="Courier"/>
        </w:rPr>
        <w:t>scipy.optimize.minimize</w:t>
      </w:r>
      <w:r>
        <w:t>, then use the best-fit solution to run an ensemble of Markov Chain Monte Carlo sampler</w:t>
      </w:r>
      <w:r w:rsidR="00B853E9">
        <w:t>s</w:t>
      </w:r>
      <w:r>
        <w:t xml:space="preserve"> using an open-source python package </w:t>
      </w:r>
      <w:r w:rsidR="00B853E9">
        <w:rPr>
          <w:rFonts w:ascii="Courier" w:hAnsi="Courier"/>
        </w:rPr>
        <w:t>emcee</w:t>
      </w:r>
      <w:r w:rsidR="00B853E9">
        <w:t xml:space="preserve">. </w:t>
      </w:r>
      <w:r w:rsidR="00B853E9">
        <w:rPr>
          <w:rFonts w:ascii="Courier" w:hAnsi="Courier"/>
        </w:rPr>
        <w:t>emcee</w:t>
      </w:r>
      <w:r w:rsidR="00B853E9">
        <w:t xml:space="preserve"> is an</w:t>
      </w:r>
      <w:r>
        <w:t xml:space="preserve"> </w:t>
      </w:r>
      <w:r w:rsidRPr="00C10025">
        <w:t>Affine Invariant Markov chain Monte Carlo (MCMC) Ensemble sampler</w:t>
      </w:r>
      <w:r w:rsidR="00B853E9">
        <w:t xml:space="preserve"> that can allow one to sample the parameters space and provides results of posterior probability distribution, best-fit solution (peak of the posterior probability distribution), as well as the uncertainties represented by the confidence intervals (1 sigma, 2 sigma, etc) on the model parameters. </w:t>
      </w:r>
    </w:p>
    <w:p w14:paraId="57452FD4" w14:textId="1448CF01" w:rsidR="009C10CA" w:rsidRDefault="009C10CA" w:rsidP="00C10025">
      <w:pPr>
        <w:jc w:val="both"/>
      </w:pPr>
    </w:p>
    <w:p w14:paraId="483A1DEC" w14:textId="6C98719B" w:rsidR="009C10CA" w:rsidRDefault="009C10CA" w:rsidP="00C10025">
      <w:pPr>
        <w:jc w:val="both"/>
      </w:pPr>
      <w:r>
        <w:t xml:space="preserve">My first step is to write the formulated Omori law log-likelihood function as a negative form, so that the minimizer can work on that and give me an initial solution which I will feed into the MCMC ensemble samplers. </w:t>
      </w:r>
      <w:r w:rsidR="005C19EE">
        <w:t xml:space="preserve"> </w:t>
      </w:r>
      <w:r w:rsidR="00010EEB">
        <w:t>From original likelihood function in Equation (3)</w:t>
      </w:r>
      <w:r w:rsidR="007638E6">
        <w:t>,</w:t>
      </w:r>
      <w:r w:rsidR="005C19EE">
        <w:t xml:space="preserve"> the negative log-likelihood is written as:</w:t>
      </w:r>
    </w:p>
    <w:p w14:paraId="4AF757A8" w14:textId="77777777" w:rsidR="007A5C5C" w:rsidRDefault="007A5C5C" w:rsidP="00C10025">
      <w:pPr>
        <w:jc w:val="both"/>
      </w:pPr>
    </w:p>
    <w:p w14:paraId="51D15CEA" w14:textId="467420A7" w:rsidR="005C19EE" w:rsidRPr="00010EEB" w:rsidRDefault="00010EEB" w:rsidP="00C10025">
      <w:pPr>
        <w:jc w:val="both"/>
      </w:pPr>
      <m:oMathPara>
        <m:oMath>
          <m:eqArr>
            <m:eqArrPr>
              <m:maxDist m:val="1"/>
              <m:ctrlPr>
                <w:rPr>
                  <w:rFonts w:ascii="Cambria Math" w:hAnsi="Cambria Math"/>
                  <w:i/>
                </w:rPr>
              </m:ctrlPr>
            </m:eqArrPr>
            <m:e>
              <m:r>
                <w:rPr>
                  <w:rFonts w:ascii="Cambria Math" w:hAnsi="Cambria Math"/>
                </w:rPr>
                <m:t>-logL</m:t>
              </m:r>
              <m:d>
                <m:dPr>
                  <m:ctrlPr>
                    <w:rPr>
                      <w:rFonts w:ascii="Cambria Math" w:hAnsi="Cambria Math"/>
                      <w:i/>
                    </w:rPr>
                  </m:ctrlPr>
                </m:dPr>
                <m:e>
                  <m:r>
                    <w:rPr>
                      <w:rFonts w:ascii="Cambria Math" w:hAnsi="Cambria Math"/>
                    </w:rPr>
                    <m:t>c,K,p</m:t>
                  </m:r>
                </m:e>
              </m:d>
              <m:r>
                <w:rPr>
                  <w:rFonts w:ascii="Cambria Math" w:hAnsi="Cambria Math"/>
                </w:rPr>
                <m:t>=-NlogK+p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d>
                    </m:e>
                  </m:func>
                  <m:r>
                    <w:rPr>
                      <w:rFonts w:ascii="Cambria Math" w:hAnsi="Cambria Math"/>
                    </w:rPr>
                    <m:t>+K</m:t>
                  </m:r>
                  <m:r>
                    <m:rPr>
                      <m:sty m:val="p"/>
                    </m:rPr>
                    <w:rPr>
                      <w:rFonts w:ascii="Cambria Math" w:hAnsi="Cambria Math"/>
                    </w:rPr>
                    <m:t>Λ</m:t>
                  </m:r>
                  <m:d>
                    <m:dPr>
                      <m:ctrlPr>
                        <w:rPr>
                          <w:rFonts w:ascii="Cambria Math" w:hAnsi="Cambria Math"/>
                          <w:i/>
                        </w:rPr>
                      </m:ctrlPr>
                    </m:dPr>
                    <m:e>
                      <m:r>
                        <w:rPr>
                          <w:rFonts w:ascii="Cambria Math" w:hAnsi="Cambria Math"/>
                        </w:rPr>
                        <m:t>c,p</m:t>
                      </m:r>
                    </m:e>
                  </m:d>
                </m:e>
              </m:nary>
              <m:r>
                <w:rPr>
                  <w:rFonts w:ascii="Cambria Math" w:hAnsi="Cambria Math"/>
                </w:rPr>
                <m:t>#</m:t>
              </m:r>
              <m:d>
                <m:dPr>
                  <m:ctrlPr>
                    <w:rPr>
                      <w:rFonts w:ascii="Cambria Math" w:hAnsi="Cambria Math"/>
                      <w:i/>
                    </w:rPr>
                  </m:ctrlPr>
                </m:dPr>
                <m:e>
                  <m:r>
                    <w:rPr>
                      <w:rFonts w:ascii="Cambria Math" w:hAnsi="Cambria Math"/>
                    </w:rPr>
                    <m:t>5</m:t>
                  </m:r>
                </m:e>
              </m:d>
            </m:e>
          </m:eqArr>
        </m:oMath>
      </m:oMathPara>
    </w:p>
    <w:p w14:paraId="70157A83" w14:textId="77777777" w:rsidR="00010EEB" w:rsidRPr="00010EEB" w:rsidRDefault="00010EEB" w:rsidP="00C10025">
      <w:pPr>
        <w:jc w:val="both"/>
      </w:pPr>
    </w:p>
    <w:p w14:paraId="5EC65B4E" w14:textId="7AA99A4C" w:rsidR="006B4FDF" w:rsidRDefault="006B4FDF" w:rsidP="00661E9E">
      <w:pPr>
        <w:jc w:val="both"/>
      </w:pPr>
    </w:p>
    <w:p w14:paraId="1A28C9D5" w14:textId="3AA34ED0" w:rsidR="00C64B07" w:rsidRDefault="00710321" w:rsidP="00661E9E">
      <w:pPr>
        <w:jc w:val="both"/>
        <w:rPr>
          <w:rFonts w:hint="eastAsia"/>
        </w:rPr>
      </w:pPr>
      <w:r>
        <w:t xml:space="preserve">The occurrence time of all the earthquakes after the corresponding mainshock is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in the above formula. </w:t>
      </w:r>
      <w:r w:rsidR="006B4FDF">
        <w:t xml:space="preserve">I downloaded the earthquake catalogs </w:t>
      </w:r>
      <w:r>
        <w:t xml:space="preserve">(contains the information about the occurrence times) </w:t>
      </w:r>
      <w:r w:rsidR="006B4FDF">
        <w:t xml:space="preserve">for the </w:t>
      </w:r>
      <w:r w:rsidR="00F16293">
        <w:t>several</w:t>
      </w:r>
      <w:r w:rsidR="006B4FDF">
        <w:t xml:space="preserve"> aftershock </w:t>
      </w:r>
      <w:r w:rsidR="00F16293">
        <w:t>datasets</w:t>
      </w:r>
      <w:r w:rsidR="006B4FDF">
        <w:t xml:space="preserve"> in the US</w:t>
      </w:r>
      <w:r w:rsidR="00F16293">
        <w:t xml:space="preserve"> within some radius distance from the mainshock location</w:t>
      </w:r>
      <w:r w:rsidR="006B4FDF">
        <w:t>, including: 1985 M</w:t>
      </w:r>
      <w:r w:rsidR="001F555E">
        <w:t>6</w:t>
      </w:r>
      <w:r w:rsidR="006B4FDF">
        <w:t>.</w:t>
      </w:r>
      <w:r w:rsidR="001F555E">
        <w:t>1</w:t>
      </w:r>
      <w:r w:rsidR="006B4FDF">
        <w:t xml:space="preserve"> Kettleman</w:t>
      </w:r>
      <w:r w:rsidR="001F555E">
        <w:t xml:space="preserve"> </w:t>
      </w:r>
      <w:r w:rsidR="006B4FDF">
        <w:t>Hills earthquake, 1989 M</w:t>
      </w:r>
      <w:r w:rsidR="001D018B">
        <w:t>6</w:t>
      </w:r>
      <w:r w:rsidR="006B4FDF">
        <w:t>.9 Loma Prieta earthquake, 2004 M6.0 Parkfield earthquake, 2011 M2.7 Prague earthquake, and 2019 M7.</w:t>
      </w:r>
      <w:r w:rsidR="001D018B">
        <w:t>1</w:t>
      </w:r>
      <w:r w:rsidR="006B4FDF">
        <w:t xml:space="preserve"> Ridgecrest earthquake</w:t>
      </w:r>
      <w:r w:rsidR="00DA6F91">
        <w:t xml:space="preserve"> </w:t>
      </w:r>
      <w:r w:rsidR="00DA6F91">
        <w:t>(</w:t>
      </w:r>
      <w:r w:rsidR="00DA6F91" w:rsidRPr="003C324F">
        <w:t>Waldhauser</w:t>
      </w:r>
      <w:r w:rsidR="00DA6F91">
        <w:t xml:space="preserve"> and </w:t>
      </w:r>
      <w:r w:rsidR="00DA6F91" w:rsidRPr="003C324F">
        <w:t>Schaff</w:t>
      </w:r>
      <w:r w:rsidR="00DA6F91">
        <w:t>, 2008; Waldhauser, 2009)</w:t>
      </w:r>
      <w:r w:rsidR="006B4FDF">
        <w:t xml:space="preserve">. Except the 2011 Prague earthquake was from Oklahoma, other earthquakes are all </w:t>
      </w:r>
      <w:r>
        <w:t>within</w:t>
      </w:r>
      <w:r w:rsidR="006B4FDF">
        <w:t xml:space="preserve"> California.</w:t>
      </w:r>
      <w:r w:rsidR="0084590B">
        <w:t xml:space="preserve"> </w:t>
      </w:r>
      <w:r>
        <w:t>Th</w:t>
      </w:r>
      <w:r w:rsidR="00C64B07">
        <w:t xml:space="preserve">e earthquake catalogs </w:t>
      </w:r>
      <w:r>
        <w:t xml:space="preserve">are truncated </w:t>
      </w:r>
      <w:r w:rsidR="00C64B07">
        <w:t xml:space="preserve">such that it contains earthquakes only after the mainshock all the way to the latest records in 2020. For </w:t>
      </w:r>
      <w:r>
        <w:t xml:space="preserve">the quality </w:t>
      </w:r>
      <w:r w:rsidR="00C64B07">
        <w:t xml:space="preserve">control, </w:t>
      </w:r>
      <w:r w:rsidR="0068598B">
        <w:t xml:space="preserve">people usually need to </w:t>
      </w:r>
      <w:r w:rsidR="00C64B07">
        <w:t xml:space="preserve">consider a minimum magnitude </w:t>
      </w:r>
      <w:r w:rsidR="0068598B">
        <w:t>which accounts for the completeness of the dataset. This concept is just to account for incomplete detections of the smaller earthquakes (the ability of the seismographs to detect earthquakes decays under a certain magnitude</w:t>
      </w:r>
      <w:r w:rsidR="00D008F2">
        <w:t>, aka, magnitude of completeness</w:t>
      </w:r>
      <w:r w:rsidR="0068598B">
        <w:t xml:space="preserve">). </w:t>
      </w:r>
      <w:r w:rsidR="00D008F2">
        <w:t>Generally, the estimated magnitude of completeness in California is ~1.5. So</w:t>
      </w:r>
      <w:r>
        <w:t>,</w:t>
      </w:r>
      <w:r w:rsidR="00D008F2">
        <w:t xml:space="preserve"> we only use earthquakes larger than M1.5 for our parameter estimations.</w:t>
      </w:r>
    </w:p>
    <w:p w14:paraId="3A32F859" w14:textId="77777777" w:rsidR="00C64B07" w:rsidRDefault="00C64B07" w:rsidP="00661E9E">
      <w:pPr>
        <w:jc w:val="both"/>
      </w:pPr>
    </w:p>
    <w:p w14:paraId="4B7EE98D" w14:textId="5C68EDE4" w:rsidR="007D6E55" w:rsidRDefault="00492325" w:rsidP="00661E9E">
      <w:pPr>
        <w:jc w:val="both"/>
      </w:pPr>
      <w:r>
        <w:t xml:space="preserve">After acquiring the occurrence times, the </w:t>
      </w:r>
      <w:r w:rsidRPr="00C10025">
        <w:rPr>
          <w:rFonts w:ascii="Courier" w:hAnsi="Courier"/>
        </w:rPr>
        <w:t>scipy.optimize.minimize</w:t>
      </w:r>
      <w:r>
        <w:t xml:space="preserve"> minimizer was used to minimize the negative log-likelihood with a given initial guess {c, K, p} = {0.5, 50, 1.1}. </w:t>
      </w:r>
      <w:r w:rsidR="007D6E55">
        <w:t xml:space="preserve">Eventually, I got a best-fit solution </w:t>
      </w:r>
      <m:oMath>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c</m:t>
            </m:r>
          </m:e>
        </m:acc>
        <m:r>
          <w:rPr>
            <w:rFonts w:ascii="Cambria Math" w:hAnsi="Cambria Math"/>
          </w:rPr>
          <m:t xml:space="preserve">, </m:t>
        </m:r>
        <m:acc>
          <m:accPr>
            <m:ctrlPr>
              <w:rPr>
                <w:rFonts w:ascii="Cambria Math" w:hAnsi="Cambria Math"/>
                <w:i/>
              </w:rPr>
            </m:ctrlPr>
          </m:accPr>
          <m:e>
            <m:r>
              <w:rPr>
                <w:rFonts w:ascii="Cambria Math" w:hAnsi="Cambria Math"/>
              </w:rPr>
              <m:t>K</m:t>
            </m:r>
          </m:e>
        </m:acc>
        <m:r>
          <w:rPr>
            <w:rFonts w:ascii="Cambria Math" w:hAnsi="Cambria Math"/>
          </w:rPr>
          <m:t xml:space="preserve">, </m:t>
        </m:r>
        <m:acc>
          <m:accPr>
            <m:ctrlPr>
              <w:rPr>
                <w:rFonts w:ascii="Cambria Math" w:hAnsi="Cambria Math"/>
                <w:i/>
              </w:rPr>
            </m:ctrlPr>
          </m:accPr>
          <m:e>
            <m:r>
              <w:rPr>
                <w:rFonts w:ascii="Cambria Math" w:hAnsi="Cambria Math"/>
              </w:rPr>
              <m:t>p</m:t>
            </m:r>
          </m:e>
        </m:acc>
        <m:r>
          <w:rPr>
            <w:rFonts w:ascii="Cambria Math" w:hAnsi="Cambria Math"/>
          </w:rPr>
          <m:t>)</m:t>
        </m:r>
      </m:oMath>
      <w:r w:rsidR="007D6E55">
        <w:t xml:space="preserve"> with the maximum likelihood</w:t>
      </w:r>
      <w:r w:rsidR="00B6295F">
        <w:t xml:space="preserve"> (the red and blue </w:t>
      </w:r>
      <w:r w:rsidR="00B6295F">
        <w:lastRenderedPageBreak/>
        <w:t>curved in Figure 2)</w:t>
      </w:r>
      <w:r w:rsidR="007D6E55">
        <w:t xml:space="preserve">. </w:t>
      </w:r>
      <w:r>
        <w:t xml:space="preserve">Here, the </w:t>
      </w:r>
      <w:r w:rsidRPr="00492325">
        <w:t>Sequential Least Squares Programming (SLSQP)</w:t>
      </w:r>
      <w:r>
        <w:t xml:space="preserve"> wa</w:t>
      </w:r>
      <w:r w:rsidR="001D78EB">
        <w:t xml:space="preserve">s selected as the minimizing method, and the bounds for the parameters are assigned as follow: </w:t>
      </w:r>
      <m:oMath>
        <m:r>
          <w:rPr>
            <w:rFonts w:ascii="Cambria Math" w:hAnsi="Cambria Math"/>
          </w:rPr>
          <m:t>c∈[</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2]</m:t>
        </m:r>
      </m:oMath>
      <w:r w:rsidR="001D78EB">
        <w:t xml:space="preserve">, </w:t>
      </w:r>
      <m:oMath>
        <m:r>
          <w:rPr>
            <w:rFonts w:ascii="Cambria Math" w:hAnsi="Cambria Math"/>
          </w:rPr>
          <m:t>K∈[</m:t>
        </m:r>
        <m:sSup>
          <m:sSupPr>
            <m:ctrlPr>
              <w:rPr>
                <w:rFonts w:ascii="Cambria Math" w:hAnsi="Cambria Math"/>
                <w:i/>
              </w:rPr>
            </m:ctrlPr>
          </m:sSupPr>
          <m:e>
            <m:r>
              <w:rPr>
                <w:rFonts w:ascii="Cambria Math" w:hAnsi="Cambria Math"/>
              </w:rPr>
              <m:t>2, 10</m:t>
            </m:r>
          </m:e>
          <m:sup>
            <m:r>
              <w:rPr>
                <w:rFonts w:ascii="Cambria Math" w:hAnsi="Cambria Math"/>
              </w:rPr>
              <m:t>4</m:t>
            </m:r>
          </m:sup>
        </m:sSup>
        <m:r>
          <w:rPr>
            <w:rFonts w:ascii="Cambria Math" w:hAnsi="Cambria Math"/>
          </w:rPr>
          <m:t>]</m:t>
        </m:r>
      </m:oMath>
      <w:r w:rsidR="001D78EB">
        <w:t xml:space="preserve">, </w:t>
      </w:r>
      <m:oMath>
        <m:r>
          <w:rPr>
            <w:rFonts w:ascii="Cambria Math" w:hAnsi="Cambria Math"/>
          </w:rPr>
          <m:t>p∈[0.2,  2]</m:t>
        </m:r>
      </m:oMath>
      <w:r w:rsidR="001D78EB">
        <w:t xml:space="preserve">. </w:t>
      </w:r>
    </w:p>
    <w:p w14:paraId="503C8407" w14:textId="77777777" w:rsidR="007D6E55" w:rsidRDefault="007D6E55" w:rsidP="00661E9E">
      <w:pPr>
        <w:jc w:val="both"/>
      </w:pPr>
    </w:p>
    <w:p w14:paraId="5CD4657A" w14:textId="0A48EC23" w:rsidR="00C64B07" w:rsidRDefault="001D78EB" w:rsidP="00661E9E">
      <w:pPr>
        <w:jc w:val="both"/>
      </w:pPr>
      <w:r>
        <w:t xml:space="preserve">Then, </w:t>
      </w:r>
      <w:r w:rsidR="007D6E55">
        <w:t>this best-fit solution from the minimizer is fed into the MCMC ensemble sampler to further explore and sample the</w:t>
      </w:r>
      <w:r w:rsidR="00932DF5">
        <w:t xml:space="preserve"> posterior probability distribution of the</w:t>
      </w:r>
      <w:r w:rsidR="007D6E55">
        <w:t xml:space="preserve"> parameters space. </w:t>
      </w:r>
      <w:r w:rsidR="00932DF5">
        <w:t>The posterior probability function is written as the Bayesian framework as below:</w:t>
      </w:r>
    </w:p>
    <w:p w14:paraId="2A97B1F0" w14:textId="77777777" w:rsidR="00932DF5" w:rsidRDefault="00932DF5" w:rsidP="00661E9E">
      <w:pPr>
        <w:jc w:val="both"/>
      </w:pPr>
    </w:p>
    <w:p w14:paraId="5F88E947" w14:textId="49A30555" w:rsidR="007D6E55" w:rsidRPr="00010EEB" w:rsidRDefault="00010EEB" w:rsidP="00661E9E">
      <w:pPr>
        <w:jc w:val="both"/>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θ</m:t>
                  </m:r>
                </m:e>
                <m:e>
                  <m:acc>
                    <m:accPr>
                      <m:chr m:val="⃑"/>
                      <m:ctrlPr>
                        <w:rPr>
                          <w:rFonts w:ascii="Cambria Math" w:hAnsi="Cambria Math"/>
                          <w:i/>
                        </w:rPr>
                      </m:ctrlPr>
                    </m:accPr>
                    <m:e>
                      <m:r>
                        <w:rPr>
                          <w:rFonts w:ascii="Cambria Math" w:hAnsi="Cambria Math"/>
                        </w:rPr>
                        <m:t>t</m:t>
                      </m:r>
                    </m:e>
                  </m:acc>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w:rPr>
                              <w:rFonts w:ascii="Cambria Math" w:hAnsi="Cambria Math"/>
                            </w:rPr>
                            <m:t>2</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t</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w:rPr>
                                  <w:rFonts w:ascii="Cambria Math" w:hAnsi="Cambria Math"/>
                                </w:rPr>
                                <m:t>2</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t</m:t>
                              </m:r>
                            </m:e>
                            <m:sub>
                              <m:r>
                                <w:rPr>
                                  <w:rFonts w:ascii="Cambria Math" w:hAnsi="Cambria Math"/>
                                </w:rPr>
                                <m:t>N</m:t>
                              </m:r>
                            </m:sub>
                          </m:sSub>
                        </m:e>
                      </m:d>
                    </m:e>
                    <m:e>
                      <m:r>
                        <w:rPr>
                          <w:rFonts w:ascii="Cambria Math" w:hAnsi="Cambria Math"/>
                        </w:rPr>
                        <m:t>θ, I</m:t>
                      </m:r>
                    </m:e>
                  </m:d>
                  <m:r>
                    <w:rPr>
                      <w:rFonts w:ascii="Cambria Math" w:hAnsi="Cambria Math"/>
                    </w:rPr>
                    <m:t>∙P</m:t>
                  </m:r>
                  <m:d>
                    <m:dPr>
                      <m:ctrlPr>
                        <w:rPr>
                          <w:rFonts w:ascii="Cambria Math" w:hAnsi="Cambria Math"/>
                          <w:i/>
                        </w:rPr>
                      </m:ctrlPr>
                    </m:dPr>
                    <m:e>
                      <m:r>
                        <w:rPr>
                          <w:rFonts w:ascii="Cambria Math" w:hAnsi="Cambria Math"/>
                        </w:rPr>
                        <m:t>θ</m:t>
                      </m:r>
                    </m:e>
                    <m:e>
                      <m:r>
                        <w:rPr>
                          <w:rFonts w:ascii="Cambria Math" w:hAnsi="Cambria Math"/>
                        </w:rPr>
                        <m:t>I</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e>
                    <m:e>
                      <m:r>
                        <w:rPr>
                          <w:rFonts w:ascii="Cambria Math" w:hAnsi="Cambria Math"/>
                        </w:rPr>
                        <m:t>I</m:t>
                      </m:r>
                    </m:e>
                  </m:d>
                </m:den>
              </m:f>
              <m:r>
                <w:rPr>
                  <w:rFonts w:ascii="Cambria Math" w:hAnsi="Cambria Math"/>
                </w:rPr>
                <m:t xml:space="preserve"> #</m:t>
              </m:r>
              <m:d>
                <m:dPr>
                  <m:ctrlPr>
                    <w:rPr>
                      <w:rFonts w:ascii="Cambria Math" w:hAnsi="Cambria Math"/>
                      <w:i/>
                    </w:rPr>
                  </m:ctrlPr>
                </m:dPr>
                <m:e>
                  <m:r>
                    <w:rPr>
                      <w:rFonts w:ascii="Cambria Math" w:hAnsi="Cambria Math"/>
                    </w:rPr>
                    <m:t>6</m:t>
                  </m:r>
                </m:e>
              </m:d>
            </m:e>
          </m:eqArr>
        </m:oMath>
      </m:oMathPara>
    </w:p>
    <w:p w14:paraId="0E107A3B" w14:textId="77777777" w:rsidR="00010EEB" w:rsidRPr="00010EEB" w:rsidRDefault="00010EEB" w:rsidP="00661E9E">
      <w:pPr>
        <w:jc w:val="both"/>
      </w:pPr>
    </w:p>
    <w:p w14:paraId="45C45BF7" w14:textId="77777777" w:rsidR="00932DF5" w:rsidRPr="00932DF5" w:rsidRDefault="00932DF5" w:rsidP="00661E9E">
      <w:pPr>
        <w:jc w:val="both"/>
      </w:pPr>
    </w:p>
    <w:p w14:paraId="5C6376A9" w14:textId="3F2BE6DA" w:rsidR="007D6E55" w:rsidRDefault="00A51B71" w:rsidP="00661E9E">
      <w:pPr>
        <w:jc w:val="both"/>
      </w:pPr>
      <w:r>
        <w:t xml:space="preserve">where </w:t>
      </w:r>
      <m:oMath>
        <m:r>
          <w:rPr>
            <w:rFonts w:ascii="Cambria Math" w:hAnsi="Cambria Math"/>
          </w:rPr>
          <m:t>P</m:t>
        </m:r>
        <m:d>
          <m:dPr>
            <m:ctrlPr>
              <w:rPr>
                <w:rFonts w:ascii="Cambria Math" w:hAnsi="Cambria Math"/>
                <w:i/>
              </w:rPr>
            </m:ctrlPr>
          </m:dPr>
          <m:e>
            <m:r>
              <w:rPr>
                <w:rFonts w:ascii="Cambria Math" w:hAnsi="Cambria Math"/>
              </w:rPr>
              <m:t>θ</m:t>
            </m:r>
          </m:e>
          <m:e>
            <m:acc>
              <m:accPr>
                <m:chr m:val="⃑"/>
                <m:ctrlPr>
                  <w:rPr>
                    <w:rFonts w:ascii="Cambria Math" w:hAnsi="Cambria Math"/>
                    <w:i/>
                  </w:rPr>
                </m:ctrlPr>
              </m:accPr>
              <m:e>
                <m:r>
                  <w:rPr>
                    <w:rFonts w:ascii="Cambria Math" w:hAnsi="Cambria Math"/>
                  </w:rPr>
                  <m:t>t</m:t>
                </m:r>
              </m:e>
            </m:acc>
          </m:e>
        </m:d>
      </m:oMath>
      <w:r>
        <w:t xml:space="preserve"> is the posterior probability function which MCMC will sample,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e>
          <m:e>
            <m:r>
              <w:rPr>
                <w:rFonts w:ascii="Cambria Math" w:hAnsi="Cambria Math"/>
              </w:rPr>
              <m:t>θ, I</m:t>
            </m:r>
          </m:e>
        </m:d>
      </m:oMath>
      <w:r>
        <w:t xml:space="preserve"> is the likelihood function that was formulated earlier</w:t>
      </w:r>
      <w:r w:rsidR="00010EEB">
        <w:t xml:space="preserve"> in Equation (3)</w:t>
      </w:r>
      <w:r w:rsidR="00E84863">
        <w:t xml:space="preserve"> (without taking the log)</w:t>
      </w:r>
      <w:r>
        <w:t xml:space="preserve">, </w:t>
      </w:r>
      <m:oMath>
        <m:r>
          <w:rPr>
            <w:rFonts w:ascii="Cambria Math" w:hAnsi="Cambria Math"/>
          </w:rPr>
          <m:t>P(θ|I)</m:t>
        </m:r>
      </m:oMath>
      <w:r>
        <w:t xml:space="preserve"> is the prior information about the parameters, and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t</m:t>
                </m:r>
              </m:e>
            </m:acc>
          </m:e>
          <m:e>
            <m:r>
              <w:rPr>
                <w:rFonts w:ascii="Cambria Math" w:hAnsi="Cambria Math"/>
              </w:rPr>
              <m:t>I</m:t>
            </m:r>
          </m:e>
        </m:d>
      </m:oMath>
      <w:r>
        <w:t xml:space="preserve"> is the Bayesian evidence term</w:t>
      </w:r>
      <w:r w:rsidR="00E84863">
        <w:t>, which is not necessary in this problem</w:t>
      </w:r>
      <w:r>
        <w:t xml:space="preserve">. </w:t>
      </w:r>
      <w:r w:rsidR="00E84863">
        <w:t>The prior is specified as a uniform prior within the given bounds, i.e.,</w:t>
      </w:r>
      <w:r w:rsidR="00E84863">
        <w:t xml:space="preserve"> </w:t>
      </w:r>
      <m:oMath>
        <m:r>
          <w:rPr>
            <w:rFonts w:ascii="Cambria Math" w:hAnsi="Cambria Math"/>
          </w:rPr>
          <m:t>c∈[</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2]</m:t>
        </m:r>
      </m:oMath>
      <w:r w:rsidR="00E84863">
        <w:t xml:space="preserve">, </w:t>
      </w:r>
      <m:oMath>
        <m:r>
          <w:rPr>
            <w:rFonts w:ascii="Cambria Math" w:hAnsi="Cambria Math"/>
          </w:rPr>
          <m:t>K∈[</m:t>
        </m:r>
        <m:sSup>
          <m:sSupPr>
            <m:ctrlPr>
              <w:rPr>
                <w:rFonts w:ascii="Cambria Math" w:hAnsi="Cambria Math"/>
                <w:i/>
              </w:rPr>
            </m:ctrlPr>
          </m:sSupPr>
          <m:e>
            <m:r>
              <w:rPr>
                <w:rFonts w:ascii="Cambria Math" w:hAnsi="Cambria Math"/>
              </w:rPr>
              <m:t>2, 10</m:t>
            </m:r>
          </m:e>
          <m:sup>
            <m:r>
              <w:rPr>
                <w:rFonts w:ascii="Cambria Math" w:hAnsi="Cambria Math"/>
              </w:rPr>
              <m:t>4</m:t>
            </m:r>
          </m:sup>
        </m:sSup>
        <m:r>
          <w:rPr>
            <w:rFonts w:ascii="Cambria Math" w:hAnsi="Cambria Math"/>
          </w:rPr>
          <m:t>]</m:t>
        </m:r>
      </m:oMath>
      <w:r w:rsidR="00E84863">
        <w:t xml:space="preserve">, </w:t>
      </w:r>
      <m:oMath>
        <m:r>
          <w:rPr>
            <w:rFonts w:ascii="Cambria Math" w:hAnsi="Cambria Math"/>
          </w:rPr>
          <m:t>p∈[0.2,  2]</m:t>
        </m:r>
      </m:oMath>
      <w:r w:rsidR="00E84863">
        <w:t xml:space="preserve">. </w:t>
      </w:r>
      <w:r w:rsidR="00E84863">
        <w:t xml:space="preserve"> We take the log of the entire Equation (6) to use the log posterior probability for sampling.</w:t>
      </w:r>
    </w:p>
    <w:p w14:paraId="12441A15" w14:textId="59A945C9" w:rsidR="00E84863" w:rsidRDefault="00E84863" w:rsidP="00661E9E">
      <w:pPr>
        <w:jc w:val="both"/>
      </w:pPr>
    </w:p>
    <w:p w14:paraId="4DE705A9" w14:textId="0707D83B" w:rsidR="00E84863" w:rsidRDefault="00CD7A9A" w:rsidP="00661E9E">
      <w:pPr>
        <w:jc w:val="both"/>
      </w:pPr>
      <w:r>
        <w:t xml:space="preserve">There are three parameters to sample. </w:t>
      </w:r>
      <w:r w:rsidR="00E84863">
        <w:t xml:space="preserve">In the </w:t>
      </w:r>
      <w:r w:rsidR="00E84863">
        <w:rPr>
          <w:rFonts w:ascii="Courier" w:hAnsi="Courier"/>
        </w:rPr>
        <w:t>emcee</w:t>
      </w:r>
      <w:r w:rsidR="00E84863">
        <w:t xml:space="preserve"> package, 32 paralleled walkers were used </w:t>
      </w:r>
      <w:r>
        <w:t xml:space="preserve">to run for 5000 steps respectively. Different walkers were spread or perturbed around </w:t>
      </w:r>
      <w:r>
        <w:t>of the best-fit solution acquired from the minimizer</w:t>
      </w:r>
      <w:r>
        <w:t xml:space="preserve">, and the perturbation was defined by a 3D Gaussian sphere (corresponds to the three parameters {c, K, p}) with a mean of </w:t>
      </w:r>
      <m:oMath>
        <m:sSup>
          <m:sSupPr>
            <m:ctrlPr>
              <w:rPr>
                <w:rFonts w:ascii="Cambria Math" w:hAnsi="Cambria Math"/>
                <w:i/>
              </w:rPr>
            </m:ctrlPr>
          </m:sSupPr>
          <m:e>
            <m:r>
              <w:rPr>
                <w:rFonts w:ascii="Cambria Math" w:hAnsi="Cambria Math"/>
              </w:rPr>
              <m:t xml:space="preserve"> 10</m:t>
            </m:r>
          </m:e>
          <m:sup>
            <m:r>
              <w:rPr>
                <w:rFonts w:ascii="Cambria Math" w:hAnsi="Cambria Math"/>
              </w:rPr>
              <m:t>-3</m:t>
            </m:r>
          </m:sup>
        </m:sSup>
      </m:oMath>
      <w:r>
        <w:t xml:space="preserve"> for each parameter.</w:t>
      </w:r>
    </w:p>
    <w:p w14:paraId="52FEFDF7" w14:textId="1B61BEDB" w:rsidR="001277B4" w:rsidRDefault="001277B4" w:rsidP="00661E9E">
      <w:pPr>
        <w:jc w:val="both"/>
      </w:pPr>
    </w:p>
    <w:p w14:paraId="2A18D361" w14:textId="126E55A9" w:rsidR="00D14F40" w:rsidRDefault="001277B4" w:rsidP="00661E9E">
      <w:pPr>
        <w:jc w:val="both"/>
      </w:pPr>
      <w:r>
        <w:t xml:space="preserve">After the ensemble sampling from the 32 walkers, we checked the trace plots </w:t>
      </w:r>
      <w:r w:rsidR="00B6295F">
        <w:t xml:space="preserve">(Figure 3) </w:t>
      </w:r>
      <w:r>
        <w:t xml:space="preserve">for each parameter, and the burn-in is pretty small and negligible. All 32 walkers successfully converge within 5000 steps for all aftershock datasets. The autocorrelation times are around </w:t>
      </w:r>
      <w:r w:rsidR="002B11A8">
        <w:t>30 to 40 steps to walk through the distribution of the parameter space for all aftershock datasets.</w:t>
      </w:r>
      <w:r w:rsidR="00C25BF1">
        <w:t xml:space="preserve"> We still choose to discard the first 100 steps as burn-in and thin by about a half the autocorrelation time (15 steps</w:t>
      </w:r>
      <w:r w:rsidR="00D14F40">
        <w:t>) and</w:t>
      </w:r>
      <w:r w:rsidR="00C25BF1">
        <w:t xml:space="preserve"> flatten the chain so that we have a flat list of samples.</w:t>
      </w:r>
      <w:r w:rsidR="00E807A1">
        <w:t xml:space="preserve"> </w:t>
      </w:r>
      <w:r w:rsidR="00D14F40">
        <w:t xml:space="preserve">We then make the corner plot for MCMC results and identified the peak (MCMC best-fit solutions) and </w:t>
      </w:r>
      <w:r w:rsidR="00335187">
        <w:t xml:space="preserve">marked </w:t>
      </w:r>
      <w:r w:rsidR="00D14F40">
        <w:t>the 1-sigma uncertainties (68% confidence interval)</w:t>
      </w:r>
      <w:r w:rsidR="00335187">
        <w:t xml:space="preserve"> on the histograms, marked the 1-sigma, 2-sigma, and 3-sigma contours on the 2-dimentional posterior probability distribution plots</w:t>
      </w:r>
      <w:r w:rsidR="00B6295F">
        <w:t xml:space="preserve"> (Figure 4)</w:t>
      </w:r>
      <w:r w:rsidR="00335187">
        <w:t>.</w:t>
      </w:r>
    </w:p>
    <w:p w14:paraId="08FD9103" w14:textId="02B0D225" w:rsidR="00E807A1" w:rsidRDefault="00E807A1" w:rsidP="00661E9E">
      <w:pPr>
        <w:jc w:val="both"/>
      </w:pPr>
    </w:p>
    <w:p w14:paraId="547A95CE" w14:textId="51DF7569" w:rsidR="00E807A1" w:rsidRDefault="00E807A1" w:rsidP="00661E9E">
      <w:pPr>
        <w:jc w:val="both"/>
      </w:pPr>
      <w:r>
        <w:t>Last step, we plot the aftershocks decay with time from the observational dataset and compare our MCMC best-fit solution with observations</w:t>
      </w:r>
      <w:r w:rsidR="00B6295F">
        <w:t xml:space="preserve"> (Figure 5)</w:t>
      </w:r>
      <w:r>
        <w:t xml:space="preserve">. Generally, the model fittings all </w:t>
      </w:r>
      <w:r w:rsidR="0031269C">
        <w:t>accomplish</w:t>
      </w:r>
      <w:r>
        <w:t xml:space="preserve"> a good job</w:t>
      </w:r>
      <w:r w:rsidR="00544ADB">
        <w:t xml:space="preserve"> in capturing the aftershock decay with time</w:t>
      </w:r>
      <w:r>
        <w:t>.</w:t>
      </w:r>
      <w:r w:rsidR="00544ADB">
        <w:t xml:space="preserve"> </w:t>
      </w:r>
      <w:r w:rsidR="00570604">
        <w:t>Thus, we conclude that the MLE and MCMC sampling workflow proposed in this class project is appropriate to estimate the model parameters as well as the corresponding uncertainties of the Omori-Utsu law.</w:t>
      </w:r>
      <w:r w:rsidR="00A7344B">
        <w:t xml:space="preserve"> </w:t>
      </w:r>
    </w:p>
    <w:p w14:paraId="572B73F7" w14:textId="390CB547" w:rsidR="00A51B71" w:rsidRDefault="00A51B71" w:rsidP="00661E9E">
      <w:pPr>
        <w:jc w:val="both"/>
      </w:pPr>
    </w:p>
    <w:p w14:paraId="379349DF" w14:textId="2885CB20" w:rsidR="00A51B71" w:rsidRDefault="00A51B71" w:rsidP="00661E9E">
      <w:pPr>
        <w:jc w:val="both"/>
      </w:pPr>
    </w:p>
    <w:p w14:paraId="2FCE5FAC" w14:textId="77777777" w:rsidR="00A51B71" w:rsidRDefault="00A51B71" w:rsidP="00661E9E">
      <w:pPr>
        <w:jc w:val="both"/>
      </w:pPr>
    </w:p>
    <w:p w14:paraId="1799B0B9" w14:textId="04A82633" w:rsidR="00F4568F" w:rsidRPr="00A7344B" w:rsidRDefault="00B25684" w:rsidP="00A7344B">
      <w:pPr>
        <w:jc w:val="both"/>
        <w:rPr>
          <w:rFonts w:hint="eastAsia"/>
        </w:rPr>
      </w:pPr>
      <w:r w:rsidRPr="00B25684">
        <w:rPr>
          <w:b/>
          <w:bCs/>
        </w:rPr>
        <w:t xml:space="preserve"> </w:t>
      </w:r>
    </w:p>
    <w:p w14:paraId="7A6B88EB" w14:textId="0A70A113" w:rsidR="00802EA5" w:rsidRDefault="00802EA5">
      <w:pPr>
        <w:rPr>
          <w:b/>
          <w:bCs/>
        </w:rPr>
      </w:pPr>
    </w:p>
    <w:p w14:paraId="2CF33C92" w14:textId="0CF6AF8A" w:rsidR="00012294" w:rsidRDefault="00012294">
      <w:pPr>
        <w:rPr>
          <w:b/>
          <w:bCs/>
        </w:rPr>
      </w:pPr>
    </w:p>
    <w:p w14:paraId="7B907DE2" w14:textId="4B5ADA0F" w:rsidR="00923206" w:rsidRDefault="00012294">
      <w:pPr>
        <w:rPr>
          <w:b/>
          <w:bCs/>
        </w:rPr>
      </w:pPr>
      <w:r>
        <w:rPr>
          <w:b/>
          <w:bCs/>
        </w:rPr>
        <w:lastRenderedPageBreak/>
        <w:t>Figures:</w:t>
      </w:r>
    </w:p>
    <w:p w14:paraId="776C5A6C" w14:textId="3ACDF6B0" w:rsidR="00923206" w:rsidRDefault="00923206" w:rsidP="009A790B">
      <w:pPr>
        <w:jc w:val="center"/>
        <w:rPr>
          <w:b/>
          <w:bCs/>
        </w:rPr>
      </w:pPr>
      <w:r>
        <w:rPr>
          <w:b/>
          <w:bCs/>
          <w:noProof/>
        </w:rPr>
        <w:drawing>
          <wp:inline distT="0" distB="0" distL="0" distR="0" wp14:anchorId="6651CD01" wp14:editId="5D57D1F9">
            <wp:extent cx="4883931" cy="2220206"/>
            <wp:effectExtent l="0" t="0" r="5715" b="254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2890" cy="2233370"/>
                    </a:xfrm>
                    <a:prstGeom prst="rect">
                      <a:avLst/>
                    </a:prstGeom>
                  </pic:spPr>
                </pic:pic>
              </a:graphicData>
            </a:graphic>
          </wp:inline>
        </w:drawing>
      </w:r>
    </w:p>
    <w:p w14:paraId="0A7D8546" w14:textId="7DE15457" w:rsidR="00923206" w:rsidRPr="00923206" w:rsidRDefault="00923206" w:rsidP="009A790B">
      <w:pPr>
        <w:jc w:val="both"/>
      </w:pPr>
      <w:r>
        <w:t>Figure 1. Aftershock datasets after the 2004 M6.0 Parkfield earthquake (occurred on Sep 28, 2004). The yellow star is the M6.0 mainshock. The grey dots are the aftershocks and background events. The vertical axis is the magnitude of earthquakes. Aftershocks concentrated during the first year and gradually decrease with time.</w:t>
      </w:r>
    </w:p>
    <w:p w14:paraId="606D1415" w14:textId="77777777" w:rsidR="00923206" w:rsidRDefault="00923206">
      <w:pPr>
        <w:rPr>
          <w:b/>
          <w:bCs/>
        </w:rPr>
      </w:pPr>
    </w:p>
    <w:p w14:paraId="53B16814" w14:textId="2E63A225" w:rsidR="00802EA5" w:rsidRDefault="00923206" w:rsidP="009A790B">
      <w:pPr>
        <w:jc w:val="center"/>
        <w:rPr>
          <w:b/>
          <w:bCs/>
        </w:rPr>
      </w:pPr>
      <w:r>
        <w:rPr>
          <w:rFonts w:hint="eastAsia"/>
          <w:b/>
          <w:bCs/>
          <w:noProof/>
        </w:rPr>
        <w:drawing>
          <wp:inline distT="0" distB="0" distL="0" distR="0" wp14:anchorId="7B3FA588" wp14:editId="19BC9F13">
            <wp:extent cx="3687601" cy="2950081"/>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1447" cy="2961158"/>
                    </a:xfrm>
                    <a:prstGeom prst="rect">
                      <a:avLst/>
                    </a:prstGeom>
                  </pic:spPr>
                </pic:pic>
              </a:graphicData>
            </a:graphic>
          </wp:inline>
        </w:drawing>
      </w:r>
    </w:p>
    <w:p w14:paraId="589FEFE8" w14:textId="742AB914" w:rsidR="00923206" w:rsidRPr="00923206" w:rsidRDefault="00923206" w:rsidP="009A790B">
      <w:pPr>
        <w:jc w:val="both"/>
      </w:pPr>
      <w:r w:rsidRPr="00923206">
        <w:t>Figure 2.</w:t>
      </w:r>
      <w:r w:rsidR="009A790B">
        <w:t xml:space="preserve"> The way to visualize the decay of 2004 Parkfield aftershocks with time. We bin the time, then count the number of earthquakes and calculate the earthquake occurrence rate (# events per day) </w:t>
      </w:r>
      <w:r w:rsidR="009A790B">
        <w:t xml:space="preserve">within </w:t>
      </w:r>
      <w:r w:rsidR="009A790B">
        <w:t>each</w:t>
      </w:r>
      <w:r w:rsidR="009A790B">
        <w:t xml:space="preserve"> time window</w:t>
      </w:r>
      <w:r w:rsidR="009A790B">
        <w:t xml:space="preserve">. The binning is in log time scale. The x axis is the time lapse from the mainshock (days), the y axis is the earthquake occurrence rate </w:t>
      </w:r>
      <w:r w:rsidR="009A790B">
        <w:t>(# events per day)</w:t>
      </w:r>
      <w:r w:rsidR="009A790B">
        <w:t>. T</w:t>
      </w:r>
      <w:r w:rsidR="009A790B">
        <w:t>he results are shown in a log-log plot.</w:t>
      </w:r>
      <w:r w:rsidR="009A790B">
        <w:t xml:space="preserve"> The grey dots are the 2004 Parkfield aftershocks, which demonstrate a clear Omori law decay. The red and the blue curves are the Omori law models to fit this dataset, parameters are shown in the legend. Two models differ from the formulation of the likelihood </w:t>
      </w:r>
      <w:r w:rsidR="004767A4">
        <w:t>function.</w:t>
      </w:r>
      <w:r w:rsidR="009A790B">
        <w:t xml:space="preserve"> </w:t>
      </w:r>
      <w:r w:rsidR="004767A4">
        <w:t xml:space="preserve">In this project, </w:t>
      </w:r>
      <w:r w:rsidR="001E1571">
        <w:t>the best-fit solution from the Ogata’s formulation is further used for MCMC sampling.</w:t>
      </w:r>
    </w:p>
    <w:p w14:paraId="41B6CBE5" w14:textId="40546B04" w:rsidR="00923206" w:rsidRDefault="00923206" w:rsidP="008F5E23">
      <w:pPr>
        <w:jc w:val="center"/>
        <w:rPr>
          <w:b/>
          <w:bCs/>
        </w:rPr>
      </w:pPr>
      <w:r>
        <w:rPr>
          <w:b/>
          <w:bCs/>
          <w:noProof/>
        </w:rPr>
        <w:lastRenderedPageBreak/>
        <w:drawing>
          <wp:inline distT="0" distB="0" distL="0" distR="0" wp14:anchorId="4F94B8B2" wp14:editId="214DCA3E">
            <wp:extent cx="5207370" cy="3645159"/>
            <wp:effectExtent l="0" t="0" r="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30120" cy="3661084"/>
                    </a:xfrm>
                    <a:prstGeom prst="rect">
                      <a:avLst/>
                    </a:prstGeom>
                  </pic:spPr>
                </pic:pic>
              </a:graphicData>
            </a:graphic>
          </wp:inline>
        </w:drawing>
      </w:r>
    </w:p>
    <w:p w14:paraId="019A3EAA" w14:textId="72092A46" w:rsidR="008F5E23" w:rsidRPr="008F5E23" w:rsidRDefault="008F5E23" w:rsidP="00D060A3">
      <w:pPr>
        <w:jc w:val="both"/>
      </w:pPr>
      <w:r w:rsidRPr="008F5E23">
        <w:t>Figure</w:t>
      </w:r>
      <w:r>
        <w:t xml:space="preserve"> </w:t>
      </w:r>
      <w:r w:rsidRPr="008F5E23">
        <w:t>3</w:t>
      </w:r>
      <w:r>
        <w:t>. Trace plots from the MCMC ensemble sampling for all three parameters {c, K, p}. Samples are flattened and plotted on x axis from 0 to 5000 steps. The burn-in phase is really short, we only trim the first 100 steps. The final acceptance rates are around 30% for all three parameters. The autocorrelation times are around 30 to 40 steps for all three parameters.</w:t>
      </w:r>
    </w:p>
    <w:p w14:paraId="1917DD5C" w14:textId="1364F682" w:rsidR="00923206" w:rsidRDefault="00923206">
      <w:pPr>
        <w:rPr>
          <w:b/>
          <w:bCs/>
        </w:rPr>
      </w:pPr>
      <w:r>
        <w:rPr>
          <w:b/>
          <w:bCs/>
          <w:noProof/>
        </w:rPr>
        <w:lastRenderedPageBreak/>
        <w:drawing>
          <wp:inline distT="0" distB="0" distL="0" distR="0" wp14:anchorId="623AE658" wp14:editId="6E308B7E">
            <wp:extent cx="5943600" cy="59436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3519672" w14:textId="2AAB9A5F" w:rsidR="00D060A3" w:rsidRDefault="00D060A3" w:rsidP="00CC3353">
      <w:pPr>
        <w:jc w:val="both"/>
      </w:pPr>
      <w:r w:rsidRPr="00D060A3">
        <w:t xml:space="preserve">Figure 4. </w:t>
      </w:r>
      <w:r>
        <w:t xml:space="preserve">The corner plot for the three parameters {c, K, p} after MCMC ensemble sampling using the package </w:t>
      </w:r>
      <w:r>
        <w:rPr>
          <w:rFonts w:ascii="Courier" w:hAnsi="Courier"/>
        </w:rPr>
        <w:t>emcee</w:t>
      </w:r>
      <w:r>
        <w:t>. The peak value of c, K, and p are marked by the central dashed lines in the histograms. The ±1 sigma interval (68% confidence interval) for each parameter is also marked by the dashed lines in the histograms. In this 2004 Parkfield dataset, we obtained the best-fit solution {c, K, p} = {0.02, 52.42, 0.91}.</w:t>
      </w:r>
      <w:r w:rsidR="00E04676">
        <w:t xml:space="preserve"> The uncertainty for K is much larger than uncertainties for c and p.</w:t>
      </w:r>
      <w:r w:rsidR="00884A37">
        <w:t xml:space="preserve"> But in terms of the resolution to consider geophysical problems, these uncertainties are acceptable.</w:t>
      </w:r>
    </w:p>
    <w:p w14:paraId="23D27646" w14:textId="77777777" w:rsidR="00E04676" w:rsidRPr="00D060A3" w:rsidRDefault="00E04676" w:rsidP="00CC3353">
      <w:pPr>
        <w:jc w:val="both"/>
      </w:pPr>
    </w:p>
    <w:p w14:paraId="57569312" w14:textId="69142377" w:rsidR="00923206" w:rsidRDefault="00923206">
      <w:pPr>
        <w:rPr>
          <w:b/>
          <w:bCs/>
        </w:rPr>
      </w:pPr>
      <w:r>
        <w:rPr>
          <w:b/>
          <w:bCs/>
          <w:noProof/>
        </w:rPr>
        <w:lastRenderedPageBreak/>
        <w:drawing>
          <wp:inline distT="0" distB="0" distL="0" distR="0" wp14:anchorId="121C29E9" wp14:editId="680E1F09">
            <wp:extent cx="5943600" cy="475488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4A17907" w14:textId="24F8548C" w:rsidR="00E04676" w:rsidRPr="00E04676" w:rsidRDefault="00E04676">
      <w:r w:rsidRPr="00E04676">
        <w:t>Figure 5</w:t>
      </w:r>
      <w:r>
        <w:t xml:space="preserve">. The dataset (grey dots) compared with the MCMC ensemble models (orange curves). Overall, the ensemble models describe very the aftershocks decay very well. The spread of the models is acceptable. </w:t>
      </w:r>
    </w:p>
    <w:p w14:paraId="3CAA9974" w14:textId="77777777" w:rsidR="00923206" w:rsidRDefault="00923206">
      <w:pPr>
        <w:rPr>
          <w:b/>
          <w:bCs/>
        </w:rPr>
      </w:pPr>
    </w:p>
    <w:p w14:paraId="3FDC60DA" w14:textId="00C982DA" w:rsidR="00802EA5" w:rsidRDefault="00802EA5">
      <w:pPr>
        <w:rPr>
          <w:b/>
          <w:bCs/>
        </w:rPr>
      </w:pPr>
    </w:p>
    <w:p w14:paraId="1DA6054B" w14:textId="4DAD8BDC" w:rsidR="009804C2" w:rsidRDefault="009804C2">
      <w:pPr>
        <w:rPr>
          <w:b/>
          <w:bCs/>
        </w:rPr>
      </w:pPr>
    </w:p>
    <w:p w14:paraId="3242C732" w14:textId="46E08974" w:rsidR="00802EA5" w:rsidRDefault="00802EA5">
      <w:pPr>
        <w:rPr>
          <w:b/>
          <w:bCs/>
        </w:rPr>
      </w:pPr>
    </w:p>
    <w:p w14:paraId="2F05FB23" w14:textId="77777777" w:rsidR="00802EA5" w:rsidRDefault="00802EA5">
      <w:pPr>
        <w:rPr>
          <w:b/>
          <w:bCs/>
        </w:rPr>
      </w:pPr>
    </w:p>
    <w:p w14:paraId="463FD746" w14:textId="77777777" w:rsidR="00012294" w:rsidRDefault="00012294" w:rsidP="00F540CE">
      <w:pPr>
        <w:spacing w:before="100" w:beforeAutospacing="1" w:after="100" w:afterAutospacing="1"/>
        <w:jc w:val="both"/>
        <w:rPr>
          <w:b/>
          <w:bCs/>
        </w:rPr>
      </w:pPr>
    </w:p>
    <w:p w14:paraId="1A3D0AED" w14:textId="77777777" w:rsidR="00012294" w:rsidRDefault="00012294">
      <w:pPr>
        <w:rPr>
          <w:b/>
          <w:bCs/>
        </w:rPr>
      </w:pPr>
      <w:r>
        <w:rPr>
          <w:b/>
          <w:bCs/>
        </w:rPr>
        <w:br w:type="page"/>
      </w:r>
    </w:p>
    <w:p w14:paraId="0BA80DC9" w14:textId="1A326442" w:rsidR="00687132" w:rsidRPr="00687132" w:rsidRDefault="00687132" w:rsidP="00F540CE">
      <w:pPr>
        <w:spacing w:before="100" w:beforeAutospacing="1" w:after="100" w:afterAutospacing="1"/>
        <w:jc w:val="both"/>
        <w:rPr>
          <w:b/>
          <w:bCs/>
        </w:rPr>
      </w:pPr>
      <w:r w:rsidRPr="00687132">
        <w:rPr>
          <w:b/>
          <w:bCs/>
        </w:rPr>
        <w:lastRenderedPageBreak/>
        <w:t>Reference for methods and dataset:</w:t>
      </w:r>
    </w:p>
    <w:p w14:paraId="5154F4C1" w14:textId="4FD4C062" w:rsidR="00D06E9F" w:rsidRDefault="00D06E9F" w:rsidP="003C324F">
      <w:pPr>
        <w:spacing w:before="100" w:beforeAutospacing="1" w:after="100" w:afterAutospacing="1"/>
      </w:pPr>
      <w:r w:rsidRPr="00E45EFF">
        <w:t xml:space="preserve">Holschneider, M., Narteau, C., Shebalin, P., Peng, Z., &amp; Schorlemmer, D. (2012). Bayesian analysis of the modified Omori law. Journal of Geophysical Research: Solid Earth, 117(B6). </w:t>
      </w:r>
    </w:p>
    <w:p w14:paraId="0C07E6BD" w14:textId="77777777" w:rsidR="00D06E9F" w:rsidRDefault="00D06E9F" w:rsidP="00D06E9F">
      <w:pPr>
        <w:spacing w:before="100" w:beforeAutospacing="1" w:after="100" w:afterAutospacing="1"/>
      </w:pPr>
      <w:r w:rsidRPr="00686912">
        <w:t>Kisslinger, C., &amp; Jones, L. M. (1991). Properties of aftershock sequences in southern California. Journal of Geophysical Research: Solid Earth, 96(B7), 11947-11958.</w:t>
      </w:r>
    </w:p>
    <w:p w14:paraId="068734F9" w14:textId="68BF7806" w:rsidR="00D06E9F" w:rsidRDefault="00D06E9F" w:rsidP="003C324F">
      <w:pPr>
        <w:spacing w:before="100" w:beforeAutospacing="1" w:after="100" w:afterAutospacing="1"/>
      </w:pPr>
      <w:r w:rsidRPr="00686912">
        <w:t>Mogi, K. (1962). On the time distribution of aftershocks accompanying the recent major earthquakes in and near Japan. Bulletin of the Earthquake Research Institute, University of Tokyo, 40(1), 107-124.</w:t>
      </w:r>
    </w:p>
    <w:p w14:paraId="5602064A" w14:textId="0E023A67" w:rsidR="00686912" w:rsidRDefault="00686912" w:rsidP="003C324F">
      <w:pPr>
        <w:spacing w:before="100" w:beforeAutospacing="1" w:after="100" w:afterAutospacing="1"/>
      </w:pPr>
      <w:r w:rsidRPr="00686912">
        <w:t>Omori, F. (1894). On the after-shocks of earthquakes. J. Coll. Sci., Imp. Univ., Japan, 7, 111-200.</w:t>
      </w:r>
    </w:p>
    <w:p w14:paraId="24D1C172" w14:textId="780B337F" w:rsidR="00C7038F" w:rsidRDefault="00C7038F" w:rsidP="003C324F">
      <w:pPr>
        <w:spacing w:before="100" w:beforeAutospacing="1" w:after="100" w:afterAutospacing="1"/>
      </w:pPr>
      <w:r w:rsidRPr="00C7038F">
        <w:t>Ogata, Y. (1983). Estimation of the parameters in the modified Omori formula for aftershock frequencies by the maximum likelihood procedure. Journal of Physics of the Earth, 31(2), 115-124.</w:t>
      </w:r>
    </w:p>
    <w:p w14:paraId="08AD323E" w14:textId="7BAB6675" w:rsidR="00F4568F" w:rsidRDefault="00F4568F" w:rsidP="003C324F">
      <w:pPr>
        <w:spacing w:before="100" w:beforeAutospacing="1" w:after="100" w:afterAutospacing="1"/>
      </w:pPr>
      <w:r w:rsidRPr="00F4568F">
        <w:t>Utsu, T. (1961). A statistical study on the occurrence of aftershocks. Geophys. Mag., 30, 521-605.</w:t>
      </w:r>
    </w:p>
    <w:p w14:paraId="28FA7EA2" w14:textId="23C32066" w:rsidR="00686912" w:rsidRDefault="00686912" w:rsidP="003C324F">
      <w:pPr>
        <w:spacing w:before="100" w:beforeAutospacing="1" w:after="100" w:afterAutospacing="1"/>
      </w:pPr>
      <w:r w:rsidRPr="00686912">
        <w:t>U</w:t>
      </w:r>
      <w:r>
        <w:t>tsu</w:t>
      </w:r>
      <w:r w:rsidRPr="00686912">
        <w:t>, T., &amp; H</w:t>
      </w:r>
      <w:r>
        <w:t>irota</w:t>
      </w:r>
      <w:r w:rsidRPr="00686912">
        <w:t>, T. (1969). A note on the statistical nature of energy and strain release in earthquake sequences. Journal of the Faculty of Science, Hokkaido University. Series 7, Geophysics, 3(2), 49-64.</w:t>
      </w:r>
    </w:p>
    <w:p w14:paraId="46A71F92" w14:textId="1BF261DC" w:rsidR="00D06E9F" w:rsidRDefault="00D06E9F" w:rsidP="003C324F">
      <w:pPr>
        <w:spacing w:before="100" w:beforeAutospacing="1" w:after="100" w:afterAutospacing="1"/>
      </w:pPr>
      <w:r w:rsidRPr="003C324F">
        <w:t>Waldhauser, F.</w:t>
      </w:r>
      <w:r>
        <w:t xml:space="preserve"> (2009).</w:t>
      </w:r>
      <w:r w:rsidRPr="003C324F">
        <w:t xml:space="preserve"> Near-real-time double-difference event location using long-term seismic archives, with application to Northern California, Bull. Seism. Soc. Am., 99, 2736-2848, doi:10.1785/0120080294</w:t>
      </w:r>
    </w:p>
    <w:p w14:paraId="73E79AAD" w14:textId="61063834" w:rsidR="003C324F" w:rsidRDefault="003C324F" w:rsidP="003C324F">
      <w:pPr>
        <w:spacing w:before="100" w:beforeAutospacing="1" w:after="100" w:afterAutospacing="1"/>
      </w:pPr>
      <w:r w:rsidRPr="003C324F">
        <w:t>Waldhauser, F. and D.P. Schaff</w:t>
      </w:r>
      <w:r w:rsidR="00F4568F">
        <w:t xml:space="preserve"> (2008).</w:t>
      </w:r>
      <w:r w:rsidRPr="003C324F">
        <w:t xml:space="preserve"> Large-scale relocation of two decades of Northern California seismicity using cross-correlation and double-difference methods, J. Geophys. Res.,113, B08311, doi:10.1029/2007JB005479</w:t>
      </w:r>
    </w:p>
    <w:sectPr w:rsidR="003C324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0C5D1" w14:textId="77777777" w:rsidR="002A1D66" w:rsidRDefault="002A1D66" w:rsidP="00565799">
      <w:r>
        <w:separator/>
      </w:r>
    </w:p>
  </w:endnote>
  <w:endnote w:type="continuationSeparator" w:id="0">
    <w:p w14:paraId="4CC8BBFC" w14:textId="77777777" w:rsidR="002A1D66" w:rsidRDefault="002A1D66" w:rsidP="0056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ar(--EGevE-fontFamily)">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366494"/>
      <w:docPartObj>
        <w:docPartGallery w:val="Page Numbers (Bottom of Page)"/>
        <w:docPartUnique/>
      </w:docPartObj>
    </w:sdtPr>
    <w:sdtContent>
      <w:p w14:paraId="77E7C68D" w14:textId="02836681" w:rsidR="00A51B71" w:rsidRDefault="00A51B71" w:rsidP="00A51B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EB58E" w14:textId="77777777" w:rsidR="00A51B71" w:rsidRDefault="00A51B71" w:rsidP="005657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0552712"/>
      <w:docPartObj>
        <w:docPartGallery w:val="Page Numbers (Bottom of Page)"/>
        <w:docPartUnique/>
      </w:docPartObj>
    </w:sdtPr>
    <w:sdtContent>
      <w:p w14:paraId="6A7DE985" w14:textId="02861201" w:rsidR="00A51B71" w:rsidRDefault="00A51B71" w:rsidP="00A51B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9FAB5D" w14:textId="77777777" w:rsidR="00A51B71" w:rsidRDefault="00A51B71" w:rsidP="005657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21A7D" w14:textId="77777777" w:rsidR="000F10ED" w:rsidRDefault="000F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0ADBF" w14:textId="77777777" w:rsidR="002A1D66" w:rsidRDefault="002A1D66" w:rsidP="00565799">
      <w:r>
        <w:separator/>
      </w:r>
    </w:p>
  </w:footnote>
  <w:footnote w:type="continuationSeparator" w:id="0">
    <w:p w14:paraId="3B9C85A6" w14:textId="77777777" w:rsidR="002A1D66" w:rsidRDefault="002A1D66" w:rsidP="00565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9FB61" w14:textId="77777777" w:rsidR="000F10ED" w:rsidRDefault="000F10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F61AA" w14:textId="1E7EBC0D" w:rsidR="00A51B71" w:rsidRDefault="00A51B71">
    <w:pPr>
      <w:pStyle w:val="Header"/>
    </w:pPr>
    <w:r>
      <w:t xml:space="preserve">Ay/Ge 117, Winter 2021 </w:t>
    </w:r>
    <w:r>
      <w:ptab w:relativeTo="margin" w:alignment="center" w:leader="none"/>
    </w:r>
    <w:r>
      <w:t>Bayesian Statistics &amp; Data Analysis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2EC86" w14:textId="77777777" w:rsidR="000F10ED" w:rsidRDefault="000F10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84E8F"/>
    <w:multiLevelType w:val="hybridMultilevel"/>
    <w:tmpl w:val="907C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CE"/>
    <w:rsid w:val="00010EEB"/>
    <w:rsid w:val="00012294"/>
    <w:rsid w:val="000348B0"/>
    <w:rsid w:val="000B7178"/>
    <w:rsid w:val="000E29E8"/>
    <w:rsid w:val="000F10ED"/>
    <w:rsid w:val="001277B4"/>
    <w:rsid w:val="001536A9"/>
    <w:rsid w:val="001D018B"/>
    <w:rsid w:val="001D78EB"/>
    <w:rsid w:val="001E1571"/>
    <w:rsid w:val="001F555E"/>
    <w:rsid w:val="002203C3"/>
    <w:rsid w:val="002A1D66"/>
    <w:rsid w:val="002B11A8"/>
    <w:rsid w:val="002D0C3D"/>
    <w:rsid w:val="002F7430"/>
    <w:rsid w:val="00300C3C"/>
    <w:rsid w:val="0031269C"/>
    <w:rsid w:val="003317DE"/>
    <w:rsid w:val="00335187"/>
    <w:rsid w:val="0038047B"/>
    <w:rsid w:val="003C324F"/>
    <w:rsid w:val="003D76CA"/>
    <w:rsid w:val="00450C21"/>
    <w:rsid w:val="004767A4"/>
    <w:rsid w:val="00492325"/>
    <w:rsid w:val="004E07D9"/>
    <w:rsid w:val="00544ADB"/>
    <w:rsid w:val="00554F84"/>
    <w:rsid w:val="00565799"/>
    <w:rsid w:val="00570604"/>
    <w:rsid w:val="005C19EE"/>
    <w:rsid w:val="005F3572"/>
    <w:rsid w:val="00603F69"/>
    <w:rsid w:val="00610AD9"/>
    <w:rsid w:val="00661E9E"/>
    <w:rsid w:val="0068598B"/>
    <w:rsid w:val="00686912"/>
    <w:rsid w:val="00687132"/>
    <w:rsid w:val="006B4FDF"/>
    <w:rsid w:val="00710321"/>
    <w:rsid w:val="00713B2E"/>
    <w:rsid w:val="007638E6"/>
    <w:rsid w:val="007A5C5C"/>
    <w:rsid w:val="007D6E55"/>
    <w:rsid w:val="007F6D11"/>
    <w:rsid w:val="00802EA5"/>
    <w:rsid w:val="00837D98"/>
    <w:rsid w:val="0084590B"/>
    <w:rsid w:val="00846C5F"/>
    <w:rsid w:val="00855B83"/>
    <w:rsid w:val="00884A37"/>
    <w:rsid w:val="008914D9"/>
    <w:rsid w:val="008F4B3D"/>
    <w:rsid w:val="008F5E23"/>
    <w:rsid w:val="00923206"/>
    <w:rsid w:val="00932DF5"/>
    <w:rsid w:val="0094312C"/>
    <w:rsid w:val="009524BC"/>
    <w:rsid w:val="00970E19"/>
    <w:rsid w:val="009804C2"/>
    <w:rsid w:val="00991474"/>
    <w:rsid w:val="009A790B"/>
    <w:rsid w:val="009C10CA"/>
    <w:rsid w:val="009D2059"/>
    <w:rsid w:val="00A023BF"/>
    <w:rsid w:val="00A32E35"/>
    <w:rsid w:val="00A45BD6"/>
    <w:rsid w:val="00A51B71"/>
    <w:rsid w:val="00A7344B"/>
    <w:rsid w:val="00AD6F5E"/>
    <w:rsid w:val="00B25684"/>
    <w:rsid w:val="00B44D3D"/>
    <w:rsid w:val="00B6295F"/>
    <w:rsid w:val="00B853E9"/>
    <w:rsid w:val="00BA573E"/>
    <w:rsid w:val="00C10025"/>
    <w:rsid w:val="00C25BF1"/>
    <w:rsid w:val="00C26924"/>
    <w:rsid w:val="00C64B07"/>
    <w:rsid w:val="00C7038F"/>
    <w:rsid w:val="00C95FDC"/>
    <w:rsid w:val="00CA4E26"/>
    <w:rsid w:val="00CC3353"/>
    <w:rsid w:val="00CD7A9A"/>
    <w:rsid w:val="00CE3A73"/>
    <w:rsid w:val="00CE3CAC"/>
    <w:rsid w:val="00CE683D"/>
    <w:rsid w:val="00D008F2"/>
    <w:rsid w:val="00D060A3"/>
    <w:rsid w:val="00D06E9F"/>
    <w:rsid w:val="00D145AA"/>
    <w:rsid w:val="00D14F40"/>
    <w:rsid w:val="00D319A9"/>
    <w:rsid w:val="00D556E7"/>
    <w:rsid w:val="00DA6F91"/>
    <w:rsid w:val="00E04676"/>
    <w:rsid w:val="00E32B51"/>
    <w:rsid w:val="00E334EA"/>
    <w:rsid w:val="00E45EFF"/>
    <w:rsid w:val="00E807A1"/>
    <w:rsid w:val="00E84863"/>
    <w:rsid w:val="00E975D7"/>
    <w:rsid w:val="00ED118D"/>
    <w:rsid w:val="00ED592D"/>
    <w:rsid w:val="00F16293"/>
    <w:rsid w:val="00F4059F"/>
    <w:rsid w:val="00F4568F"/>
    <w:rsid w:val="00F53A42"/>
    <w:rsid w:val="00F540CE"/>
    <w:rsid w:val="00FB709C"/>
    <w:rsid w:val="00FC7E4E"/>
    <w:rsid w:val="00FD35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51E4F4"/>
  <w15:chartTrackingRefBased/>
  <w15:docId w15:val="{68F30C41-1345-C34A-9D96-F812FABE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EA5"/>
    <w:rPr>
      <w:rFonts w:ascii="Times New Roman" w:eastAsia="Times New Roman" w:hAnsi="Times New Roman" w:cs="Times New Roman"/>
    </w:rPr>
  </w:style>
  <w:style w:type="paragraph" w:styleId="Heading2">
    <w:name w:val="heading 2"/>
    <w:basedOn w:val="Normal"/>
    <w:link w:val="Heading2Char"/>
    <w:uiPriority w:val="9"/>
    <w:qFormat/>
    <w:rsid w:val="00F540C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0CE"/>
    <w:pPr>
      <w:spacing w:before="100" w:beforeAutospacing="1" w:after="100" w:afterAutospacing="1"/>
    </w:pPr>
  </w:style>
  <w:style w:type="character" w:customStyle="1" w:styleId="Heading2Char">
    <w:name w:val="Heading 2 Char"/>
    <w:basedOn w:val="DefaultParagraphFont"/>
    <w:link w:val="Heading2"/>
    <w:uiPriority w:val="9"/>
    <w:rsid w:val="00F540CE"/>
    <w:rPr>
      <w:rFonts w:ascii="Times New Roman" w:eastAsia="Times New Roman" w:hAnsi="Times New Roman" w:cs="Times New Roman"/>
      <w:b/>
      <w:bCs/>
      <w:sz w:val="36"/>
      <w:szCs w:val="36"/>
    </w:rPr>
  </w:style>
  <w:style w:type="character" w:customStyle="1" w:styleId="egevefzry">
    <w:name w:val="egeve_fzry"/>
    <w:basedOn w:val="DefaultParagraphFont"/>
    <w:rsid w:val="00F540CE"/>
  </w:style>
  <w:style w:type="character" w:styleId="PlaceholderText">
    <w:name w:val="Placeholder Text"/>
    <w:basedOn w:val="DefaultParagraphFont"/>
    <w:uiPriority w:val="99"/>
    <w:semiHidden/>
    <w:rsid w:val="00CA4E26"/>
    <w:rPr>
      <w:color w:val="808080"/>
    </w:rPr>
  </w:style>
  <w:style w:type="paragraph" w:styleId="ListParagraph">
    <w:name w:val="List Paragraph"/>
    <w:basedOn w:val="Normal"/>
    <w:uiPriority w:val="34"/>
    <w:qFormat/>
    <w:rsid w:val="003D76CA"/>
    <w:pPr>
      <w:ind w:left="720"/>
      <w:contextualSpacing/>
    </w:pPr>
  </w:style>
  <w:style w:type="paragraph" w:styleId="Header">
    <w:name w:val="header"/>
    <w:basedOn w:val="Normal"/>
    <w:link w:val="HeaderChar"/>
    <w:uiPriority w:val="99"/>
    <w:unhideWhenUsed/>
    <w:rsid w:val="00565799"/>
    <w:pPr>
      <w:tabs>
        <w:tab w:val="center" w:pos="4680"/>
        <w:tab w:val="right" w:pos="9360"/>
      </w:tabs>
    </w:pPr>
  </w:style>
  <w:style w:type="character" w:customStyle="1" w:styleId="HeaderChar">
    <w:name w:val="Header Char"/>
    <w:basedOn w:val="DefaultParagraphFont"/>
    <w:link w:val="Header"/>
    <w:uiPriority w:val="99"/>
    <w:rsid w:val="00565799"/>
    <w:rPr>
      <w:rFonts w:ascii="Times New Roman" w:eastAsia="Times New Roman" w:hAnsi="Times New Roman" w:cs="Times New Roman"/>
    </w:rPr>
  </w:style>
  <w:style w:type="paragraph" w:styleId="Footer">
    <w:name w:val="footer"/>
    <w:basedOn w:val="Normal"/>
    <w:link w:val="FooterChar"/>
    <w:uiPriority w:val="99"/>
    <w:unhideWhenUsed/>
    <w:rsid w:val="00565799"/>
    <w:pPr>
      <w:tabs>
        <w:tab w:val="center" w:pos="4680"/>
        <w:tab w:val="right" w:pos="9360"/>
      </w:tabs>
    </w:pPr>
  </w:style>
  <w:style w:type="character" w:customStyle="1" w:styleId="FooterChar">
    <w:name w:val="Footer Char"/>
    <w:basedOn w:val="DefaultParagraphFont"/>
    <w:link w:val="Footer"/>
    <w:uiPriority w:val="99"/>
    <w:rsid w:val="00565799"/>
    <w:rPr>
      <w:rFonts w:ascii="Times New Roman" w:eastAsia="Times New Roman" w:hAnsi="Times New Roman" w:cs="Times New Roman"/>
    </w:rPr>
  </w:style>
  <w:style w:type="character" w:styleId="PageNumber">
    <w:name w:val="page number"/>
    <w:basedOn w:val="DefaultParagraphFont"/>
    <w:uiPriority w:val="99"/>
    <w:semiHidden/>
    <w:unhideWhenUsed/>
    <w:rsid w:val="00565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88710">
      <w:bodyDiv w:val="1"/>
      <w:marLeft w:val="0"/>
      <w:marRight w:val="0"/>
      <w:marTop w:val="0"/>
      <w:marBottom w:val="0"/>
      <w:divBdr>
        <w:top w:val="none" w:sz="0" w:space="0" w:color="auto"/>
        <w:left w:val="none" w:sz="0" w:space="0" w:color="auto"/>
        <w:bottom w:val="none" w:sz="0" w:space="0" w:color="auto"/>
        <w:right w:val="none" w:sz="0" w:space="0" w:color="auto"/>
      </w:divBdr>
    </w:div>
    <w:div w:id="466511162">
      <w:bodyDiv w:val="1"/>
      <w:marLeft w:val="0"/>
      <w:marRight w:val="0"/>
      <w:marTop w:val="0"/>
      <w:marBottom w:val="0"/>
      <w:divBdr>
        <w:top w:val="none" w:sz="0" w:space="0" w:color="auto"/>
        <w:left w:val="none" w:sz="0" w:space="0" w:color="auto"/>
        <w:bottom w:val="none" w:sz="0" w:space="0" w:color="auto"/>
        <w:right w:val="none" w:sz="0" w:space="0" w:color="auto"/>
      </w:divBdr>
    </w:div>
    <w:div w:id="481652772">
      <w:bodyDiv w:val="1"/>
      <w:marLeft w:val="0"/>
      <w:marRight w:val="0"/>
      <w:marTop w:val="0"/>
      <w:marBottom w:val="0"/>
      <w:divBdr>
        <w:top w:val="none" w:sz="0" w:space="0" w:color="auto"/>
        <w:left w:val="none" w:sz="0" w:space="0" w:color="auto"/>
        <w:bottom w:val="none" w:sz="0" w:space="0" w:color="auto"/>
        <w:right w:val="none" w:sz="0" w:space="0" w:color="auto"/>
      </w:divBdr>
    </w:div>
    <w:div w:id="592590911">
      <w:bodyDiv w:val="1"/>
      <w:marLeft w:val="0"/>
      <w:marRight w:val="0"/>
      <w:marTop w:val="0"/>
      <w:marBottom w:val="0"/>
      <w:divBdr>
        <w:top w:val="none" w:sz="0" w:space="0" w:color="auto"/>
        <w:left w:val="none" w:sz="0" w:space="0" w:color="auto"/>
        <w:bottom w:val="none" w:sz="0" w:space="0" w:color="auto"/>
        <w:right w:val="none" w:sz="0" w:space="0" w:color="auto"/>
      </w:divBdr>
    </w:div>
    <w:div w:id="595598840">
      <w:bodyDiv w:val="1"/>
      <w:marLeft w:val="0"/>
      <w:marRight w:val="0"/>
      <w:marTop w:val="0"/>
      <w:marBottom w:val="0"/>
      <w:divBdr>
        <w:top w:val="none" w:sz="0" w:space="0" w:color="auto"/>
        <w:left w:val="none" w:sz="0" w:space="0" w:color="auto"/>
        <w:bottom w:val="none" w:sz="0" w:space="0" w:color="auto"/>
        <w:right w:val="none" w:sz="0" w:space="0" w:color="auto"/>
      </w:divBdr>
      <w:divsChild>
        <w:div w:id="623385309">
          <w:marLeft w:val="0"/>
          <w:marRight w:val="0"/>
          <w:marTop w:val="0"/>
          <w:marBottom w:val="0"/>
          <w:divBdr>
            <w:top w:val="none" w:sz="0" w:space="0" w:color="auto"/>
            <w:left w:val="none" w:sz="0" w:space="0" w:color="auto"/>
            <w:bottom w:val="none" w:sz="0" w:space="0" w:color="auto"/>
            <w:right w:val="none" w:sz="0" w:space="0" w:color="auto"/>
          </w:divBdr>
          <w:divsChild>
            <w:div w:id="1295407408">
              <w:marLeft w:val="0"/>
              <w:marRight w:val="0"/>
              <w:marTop w:val="0"/>
              <w:marBottom w:val="0"/>
              <w:divBdr>
                <w:top w:val="none" w:sz="0" w:space="0" w:color="auto"/>
                <w:left w:val="none" w:sz="0" w:space="0" w:color="auto"/>
                <w:bottom w:val="none" w:sz="0" w:space="0" w:color="auto"/>
                <w:right w:val="none" w:sz="0" w:space="0" w:color="auto"/>
              </w:divBdr>
              <w:divsChild>
                <w:div w:id="15378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59949">
      <w:bodyDiv w:val="1"/>
      <w:marLeft w:val="0"/>
      <w:marRight w:val="0"/>
      <w:marTop w:val="0"/>
      <w:marBottom w:val="0"/>
      <w:divBdr>
        <w:top w:val="none" w:sz="0" w:space="0" w:color="auto"/>
        <w:left w:val="none" w:sz="0" w:space="0" w:color="auto"/>
        <w:bottom w:val="none" w:sz="0" w:space="0" w:color="auto"/>
        <w:right w:val="none" w:sz="0" w:space="0" w:color="auto"/>
      </w:divBdr>
    </w:div>
    <w:div w:id="971059950">
      <w:bodyDiv w:val="1"/>
      <w:marLeft w:val="0"/>
      <w:marRight w:val="0"/>
      <w:marTop w:val="0"/>
      <w:marBottom w:val="0"/>
      <w:divBdr>
        <w:top w:val="none" w:sz="0" w:space="0" w:color="auto"/>
        <w:left w:val="none" w:sz="0" w:space="0" w:color="auto"/>
        <w:bottom w:val="none" w:sz="0" w:space="0" w:color="auto"/>
        <w:right w:val="none" w:sz="0" w:space="0" w:color="auto"/>
      </w:divBdr>
    </w:div>
    <w:div w:id="1014111940">
      <w:bodyDiv w:val="1"/>
      <w:marLeft w:val="0"/>
      <w:marRight w:val="0"/>
      <w:marTop w:val="0"/>
      <w:marBottom w:val="0"/>
      <w:divBdr>
        <w:top w:val="none" w:sz="0" w:space="0" w:color="auto"/>
        <w:left w:val="none" w:sz="0" w:space="0" w:color="auto"/>
        <w:bottom w:val="none" w:sz="0" w:space="0" w:color="auto"/>
        <w:right w:val="none" w:sz="0" w:space="0" w:color="auto"/>
      </w:divBdr>
      <w:divsChild>
        <w:div w:id="795953108">
          <w:marLeft w:val="0"/>
          <w:marRight w:val="0"/>
          <w:marTop w:val="0"/>
          <w:marBottom w:val="0"/>
          <w:divBdr>
            <w:top w:val="none" w:sz="0" w:space="0" w:color="auto"/>
            <w:left w:val="none" w:sz="0" w:space="0" w:color="auto"/>
            <w:bottom w:val="none" w:sz="0" w:space="0" w:color="auto"/>
            <w:right w:val="none" w:sz="0" w:space="0" w:color="auto"/>
          </w:divBdr>
          <w:divsChild>
            <w:div w:id="807087886">
              <w:marLeft w:val="0"/>
              <w:marRight w:val="0"/>
              <w:marTop w:val="0"/>
              <w:marBottom w:val="0"/>
              <w:divBdr>
                <w:top w:val="none" w:sz="0" w:space="0" w:color="auto"/>
                <w:left w:val="none" w:sz="0" w:space="0" w:color="auto"/>
                <w:bottom w:val="none" w:sz="0" w:space="0" w:color="auto"/>
                <w:right w:val="none" w:sz="0" w:space="0" w:color="auto"/>
              </w:divBdr>
              <w:divsChild>
                <w:div w:id="13020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9601">
      <w:bodyDiv w:val="1"/>
      <w:marLeft w:val="0"/>
      <w:marRight w:val="0"/>
      <w:marTop w:val="0"/>
      <w:marBottom w:val="0"/>
      <w:divBdr>
        <w:top w:val="none" w:sz="0" w:space="0" w:color="auto"/>
        <w:left w:val="none" w:sz="0" w:space="0" w:color="auto"/>
        <w:bottom w:val="none" w:sz="0" w:space="0" w:color="auto"/>
        <w:right w:val="none" w:sz="0" w:space="0" w:color="auto"/>
      </w:divBdr>
    </w:div>
    <w:div w:id="1283076387">
      <w:bodyDiv w:val="1"/>
      <w:marLeft w:val="0"/>
      <w:marRight w:val="0"/>
      <w:marTop w:val="0"/>
      <w:marBottom w:val="0"/>
      <w:divBdr>
        <w:top w:val="none" w:sz="0" w:space="0" w:color="auto"/>
        <w:left w:val="none" w:sz="0" w:space="0" w:color="auto"/>
        <w:bottom w:val="none" w:sz="0" w:space="0" w:color="auto"/>
        <w:right w:val="none" w:sz="0" w:space="0" w:color="auto"/>
      </w:divBdr>
      <w:divsChild>
        <w:div w:id="1359428829">
          <w:marLeft w:val="0"/>
          <w:marRight w:val="0"/>
          <w:marTop w:val="0"/>
          <w:marBottom w:val="0"/>
          <w:divBdr>
            <w:top w:val="none" w:sz="0" w:space="0" w:color="auto"/>
            <w:left w:val="none" w:sz="0" w:space="0" w:color="auto"/>
            <w:bottom w:val="none" w:sz="0" w:space="0" w:color="auto"/>
            <w:right w:val="none" w:sz="0" w:space="0" w:color="auto"/>
          </w:divBdr>
        </w:div>
      </w:divsChild>
    </w:div>
    <w:div w:id="1539857344">
      <w:bodyDiv w:val="1"/>
      <w:marLeft w:val="0"/>
      <w:marRight w:val="0"/>
      <w:marTop w:val="0"/>
      <w:marBottom w:val="0"/>
      <w:divBdr>
        <w:top w:val="none" w:sz="0" w:space="0" w:color="auto"/>
        <w:left w:val="none" w:sz="0" w:space="0" w:color="auto"/>
        <w:bottom w:val="none" w:sz="0" w:space="0" w:color="auto"/>
        <w:right w:val="none" w:sz="0" w:space="0" w:color="auto"/>
      </w:divBdr>
      <w:divsChild>
        <w:div w:id="1511292711">
          <w:marLeft w:val="0"/>
          <w:marRight w:val="0"/>
          <w:marTop w:val="0"/>
          <w:marBottom w:val="0"/>
          <w:divBdr>
            <w:top w:val="none" w:sz="0" w:space="0" w:color="auto"/>
            <w:left w:val="none" w:sz="0" w:space="0" w:color="auto"/>
            <w:bottom w:val="none" w:sz="0" w:space="0" w:color="auto"/>
            <w:right w:val="none" w:sz="0" w:space="0" w:color="auto"/>
          </w:divBdr>
        </w:div>
      </w:divsChild>
    </w:div>
    <w:div w:id="2031296156">
      <w:bodyDiv w:val="1"/>
      <w:marLeft w:val="0"/>
      <w:marRight w:val="0"/>
      <w:marTop w:val="0"/>
      <w:marBottom w:val="0"/>
      <w:divBdr>
        <w:top w:val="none" w:sz="0" w:space="0" w:color="auto"/>
        <w:left w:val="none" w:sz="0" w:space="0" w:color="auto"/>
        <w:bottom w:val="none" w:sz="0" w:space="0" w:color="auto"/>
        <w:right w:val="none" w:sz="0" w:space="0" w:color="auto"/>
      </w:divBdr>
      <w:divsChild>
        <w:div w:id="630748927">
          <w:marLeft w:val="0"/>
          <w:marRight w:val="0"/>
          <w:marTop w:val="0"/>
          <w:marBottom w:val="0"/>
          <w:divBdr>
            <w:top w:val="none" w:sz="0" w:space="0" w:color="auto"/>
            <w:left w:val="none" w:sz="0" w:space="0" w:color="auto"/>
            <w:bottom w:val="none" w:sz="0" w:space="0" w:color="auto"/>
            <w:right w:val="none" w:sz="0" w:space="0" w:color="auto"/>
          </w:divBdr>
          <w:divsChild>
            <w:div w:id="1455059436">
              <w:marLeft w:val="0"/>
              <w:marRight w:val="0"/>
              <w:marTop w:val="0"/>
              <w:marBottom w:val="0"/>
              <w:divBdr>
                <w:top w:val="none" w:sz="0" w:space="0" w:color="auto"/>
                <w:left w:val="none" w:sz="0" w:space="0" w:color="auto"/>
                <w:bottom w:val="none" w:sz="0" w:space="0" w:color="auto"/>
                <w:right w:val="none" w:sz="0" w:space="0" w:color="auto"/>
              </w:divBdr>
              <w:divsChild>
                <w:div w:id="1939215280">
                  <w:marLeft w:val="0"/>
                  <w:marRight w:val="0"/>
                  <w:marTop w:val="0"/>
                  <w:marBottom w:val="0"/>
                  <w:divBdr>
                    <w:top w:val="none" w:sz="0" w:space="0" w:color="auto"/>
                    <w:left w:val="none" w:sz="0" w:space="0" w:color="auto"/>
                    <w:bottom w:val="none" w:sz="0" w:space="0" w:color="auto"/>
                    <w:right w:val="none" w:sz="0" w:space="0" w:color="auto"/>
                  </w:divBdr>
                  <w:divsChild>
                    <w:div w:id="785661579">
                      <w:marLeft w:val="0"/>
                      <w:marRight w:val="0"/>
                      <w:marTop w:val="0"/>
                      <w:marBottom w:val="0"/>
                      <w:divBdr>
                        <w:top w:val="none" w:sz="0" w:space="0" w:color="auto"/>
                        <w:left w:val="none" w:sz="0" w:space="0" w:color="auto"/>
                        <w:bottom w:val="none" w:sz="0" w:space="0" w:color="auto"/>
                        <w:right w:val="none" w:sz="0" w:space="0" w:color="auto"/>
                      </w:divBdr>
                      <w:divsChild>
                        <w:div w:id="1015499095">
                          <w:marLeft w:val="0"/>
                          <w:marRight w:val="0"/>
                          <w:marTop w:val="0"/>
                          <w:marBottom w:val="0"/>
                          <w:divBdr>
                            <w:top w:val="none" w:sz="0" w:space="0" w:color="auto"/>
                            <w:left w:val="none" w:sz="0" w:space="0" w:color="auto"/>
                            <w:bottom w:val="none" w:sz="0" w:space="0" w:color="auto"/>
                            <w:right w:val="none" w:sz="0" w:space="0" w:color="auto"/>
                          </w:divBdr>
                          <w:divsChild>
                            <w:div w:id="17457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350383">
          <w:marLeft w:val="0"/>
          <w:marRight w:val="0"/>
          <w:marTop w:val="0"/>
          <w:marBottom w:val="0"/>
          <w:divBdr>
            <w:top w:val="none" w:sz="0" w:space="0" w:color="auto"/>
            <w:left w:val="none" w:sz="0" w:space="0" w:color="auto"/>
            <w:bottom w:val="none" w:sz="0" w:space="0" w:color="auto"/>
            <w:right w:val="none" w:sz="0" w:space="0" w:color="auto"/>
          </w:divBdr>
          <w:divsChild>
            <w:div w:id="265970136">
              <w:marLeft w:val="0"/>
              <w:marRight w:val="0"/>
              <w:marTop w:val="0"/>
              <w:marBottom w:val="0"/>
              <w:divBdr>
                <w:top w:val="none" w:sz="0" w:space="0" w:color="auto"/>
                <w:left w:val="none" w:sz="0" w:space="0" w:color="auto"/>
                <w:bottom w:val="none" w:sz="0" w:space="0" w:color="auto"/>
                <w:right w:val="none" w:sz="0" w:space="0" w:color="auto"/>
              </w:divBdr>
              <w:divsChild>
                <w:div w:id="451217334">
                  <w:marLeft w:val="0"/>
                  <w:marRight w:val="0"/>
                  <w:marTop w:val="0"/>
                  <w:marBottom w:val="0"/>
                  <w:divBdr>
                    <w:top w:val="none" w:sz="0" w:space="0" w:color="auto"/>
                    <w:left w:val="none" w:sz="0" w:space="0" w:color="auto"/>
                    <w:bottom w:val="none" w:sz="0" w:space="0" w:color="auto"/>
                    <w:right w:val="none" w:sz="0" w:space="0" w:color="auto"/>
                  </w:divBdr>
                  <w:divsChild>
                    <w:div w:id="1267157778">
                      <w:marLeft w:val="0"/>
                      <w:marRight w:val="0"/>
                      <w:marTop w:val="0"/>
                      <w:marBottom w:val="0"/>
                      <w:divBdr>
                        <w:top w:val="none" w:sz="0" w:space="0" w:color="auto"/>
                        <w:left w:val="none" w:sz="0" w:space="0" w:color="auto"/>
                        <w:bottom w:val="none" w:sz="0" w:space="0" w:color="auto"/>
                        <w:right w:val="none" w:sz="0" w:space="0" w:color="auto"/>
                      </w:divBdr>
                    </w:div>
                    <w:div w:id="2127851532">
                      <w:marLeft w:val="0"/>
                      <w:marRight w:val="0"/>
                      <w:marTop w:val="0"/>
                      <w:marBottom w:val="0"/>
                      <w:divBdr>
                        <w:top w:val="none" w:sz="0" w:space="0" w:color="auto"/>
                        <w:left w:val="none" w:sz="0" w:space="0" w:color="auto"/>
                        <w:bottom w:val="none" w:sz="0" w:space="0" w:color="auto"/>
                        <w:right w:val="none" w:sz="0" w:space="0" w:color="auto"/>
                      </w:divBdr>
                    </w:div>
                  </w:divsChild>
                </w:div>
                <w:div w:id="1821460055">
                  <w:marLeft w:val="0"/>
                  <w:marRight w:val="0"/>
                  <w:marTop w:val="0"/>
                  <w:marBottom w:val="0"/>
                  <w:divBdr>
                    <w:top w:val="none" w:sz="0" w:space="0" w:color="auto"/>
                    <w:left w:val="none" w:sz="0" w:space="0" w:color="auto"/>
                    <w:bottom w:val="none" w:sz="0" w:space="0" w:color="auto"/>
                    <w:right w:val="none" w:sz="0" w:space="0" w:color="auto"/>
                  </w:divBdr>
                  <w:divsChild>
                    <w:div w:id="17565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82F31-3B95-5646-A0FF-2E52350E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 Kai</dc:creator>
  <cp:keywords/>
  <dc:description/>
  <cp:lastModifiedBy>Liu, Yuan Kai</cp:lastModifiedBy>
  <cp:revision>4</cp:revision>
  <cp:lastPrinted>2021-03-10T16:58:00Z</cp:lastPrinted>
  <dcterms:created xsi:type="dcterms:W3CDTF">2021-03-10T16:58:00Z</dcterms:created>
  <dcterms:modified xsi:type="dcterms:W3CDTF">2021-03-11T15:24:00Z</dcterms:modified>
</cp:coreProperties>
</file>