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8915C">
      <w:pPr>
        <w:pStyle w:val="3"/>
        <w:jc w:val="center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三模型对照实验分析报告</w:t>
      </w:r>
    </w:p>
    <w:p w14:paraId="0D7D74B2">
      <w:pPr>
        <w:rPr>
          <w:rFonts w:hint="eastAsia" w:ascii="Times New Roman" w:hAnsi="Times New Roman" w:eastAsia="宋体" w:cs="宋体"/>
          <w:color w:val="auto"/>
        </w:rPr>
      </w:pPr>
    </w:p>
    <w:p w14:paraId="72701665">
      <w:pPr>
        <w:pStyle w:val="4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一、评估指标说明</w:t>
      </w:r>
      <w:bookmarkStart w:id="0" w:name="_GoBack"/>
      <w:bookmarkEnd w:id="0"/>
    </w:p>
    <w:p w14:paraId="42933A25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 w:val="0"/>
          <w:color w:val="auto"/>
        </w:rPr>
        <w:t>本次实验采用 7 项精度指标和 1 项速度指标对模型进行全面评估。</w:t>
      </w:r>
    </w:p>
    <w:p w14:paraId="5834DF4D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mAP@0.5</w:t>
      </w:r>
      <w:r>
        <w:rPr>
          <w:rFonts w:hint="eastAsia" w:ascii="Times New Roman" w:hAnsi="Times New Roman" w:eastAsia="宋体" w:cs="宋体"/>
          <w:color w:val="auto"/>
        </w:rPr>
        <w:t>（mean Average Precision at IoU=0.5）是目标检测中最基础的精度指标，衡量模型在 IoU 阈值为 0.5 时的平均检测精度，数值越高说明模型越能正确找到目标。</w:t>
      </w:r>
      <w:r>
        <w:rPr>
          <w:rFonts w:hint="eastAsia" w:ascii="Times New Roman" w:hAnsi="Times New Roman" w:eastAsia="宋体" w:cs="宋体"/>
          <w:b/>
          <w:color w:val="auto"/>
        </w:rPr>
        <w:t>mAP@0.5:0.95</w:t>
      </w:r>
      <w:r>
        <w:rPr>
          <w:rFonts w:hint="eastAsia" w:ascii="Times New Roman" w:hAnsi="Times New Roman" w:eastAsia="宋体" w:cs="宋体"/>
          <w:color w:val="auto"/>
        </w:rPr>
        <w:t xml:space="preserve"> 则更为严格，它在 IoU 从 0.5 到 0.95 的多个阈值上取平均，反映了模型的定位精度——不仅要把目标找到，还要把框画准。</w:t>
      </w:r>
    </w:p>
    <w:p w14:paraId="6E73B255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Precision</w:t>
      </w:r>
      <w:r>
        <w:rPr>
          <w:rFonts w:hint="eastAsia" w:ascii="Times New Roman" w:hAnsi="Times New Roman" w:eastAsia="宋体" w:cs="宋体"/>
          <w:color w:val="auto"/>
        </w:rPr>
        <w:t>（查准率）表示模型检测出的结果中有多少是真正正确的，Precision 低意味着误报多；</w:t>
      </w:r>
      <w:r>
        <w:rPr>
          <w:rFonts w:hint="eastAsia" w:ascii="Times New Roman" w:hAnsi="Times New Roman" w:eastAsia="宋体" w:cs="宋体"/>
          <w:b/>
          <w:color w:val="auto"/>
        </w:rPr>
        <w:t>Recall</w:t>
      </w:r>
      <w:r>
        <w:rPr>
          <w:rFonts w:hint="eastAsia" w:ascii="Times New Roman" w:hAnsi="Times New Roman" w:eastAsia="宋体" w:cs="宋体"/>
          <w:color w:val="auto"/>
        </w:rPr>
        <w:t xml:space="preserve">（查全率）表示所有真实目标中有多少被模型找到了，Recall 低意味着漏检多。两者往往此消彼长，因此引入 </w:t>
      </w:r>
      <w:r>
        <w:rPr>
          <w:rFonts w:hint="eastAsia" w:ascii="Times New Roman" w:hAnsi="Times New Roman" w:eastAsia="宋体" w:cs="宋体"/>
          <w:b/>
          <w:color w:val="auto"/>
        </w:rPr>
        <w:t>F1 Score</w:t>
      </w:r>
      <w:r>
        <w:rPr>
          <w:rFonts w:hint="eastAsia" w:ascii="Times New Roman" w:hAnsi="Times New Roman" w:eastAsia="宋体" w:cs="宋体"/>
          <w:color w:val="auto"/>
        </w:rPr>
        <w:t xml:space="preserve"> 作为二者的调和均值，综合衡量检测质量。</w:t>
      </w:r>
    </w:p>
    <w:p w14:paraId="49A63254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每类 AP50</w:t>
      </w:r>
      <w:r>
        <w:rPr>
          <w:rFonts w:hint="eastAsia" w:ascii="Times New Roman" w:hAnsi="Times New Roman" w:eastAsia="宋体" w:cs="宋体"/>
          <w:color w:val="auto"/>
        </w:rPr>
        <w:t xml:space="preserve"> 将 mAP@0.5 拆分到 defect_2、defect_3、defect_6 三个瑕疵类别，可以定位模型在哪个具体类型上表现薄弱。</w:t>
      </w:r>
      <w:r>
        <w:rPr>
          <w:rFonts w:hint="eastAsia" w:ascii="Times New Roman" w:hAnsi="Times New Roman" w:eastAsia="宋体" w:cs="宋体"/>
          <w:b/>
          <w:color w:val="auto"/>
        </w:rPr>
        <w:t>FPPI</w:t>
      </w:r>
      <w:r>
        <w:rPr>
          <w:rFonts w:hint="eastAsia" w:ascii="Times New Roman" w:hAnsi="Times New Roman" w:eastAsia="宋体" w:cs="宋体"/>
          <w:color w:val="auto"/>
        </w:rPr>
        <w:t>（False Positive Per Image，每图误报数）在 398 张无瑕疵的负样本图片上统计，衡量模型的误报率，是工业部署场景的关键指标</w:t>
      </w:r>
      <w:r>
        <w:rPr>
          <w:rFonts w:hint="eastAsia" w:ascii="Times New Roman" w:hAnsi="Times New Roman" w:cs="宋体"/>
          <w:color w:val="auto"/>
          <w:lang w:eastAsia="zh-CN"/>
        </w:rPr>
        <w:t>，</w:t>
      </w:r>
      <w:r>
        <w:rPr>
          <w:rFonts w:hint="eastAsia" w:ascii="Times New Roman" w:hAnsi="Times New Roman" w:cs="宋体"/>
          <w:color w:val="auto"/>
          <w:lang w:val="en-US" w:eastAsia="zh-CN"/>
        </w:rPr>
        <w:t>因为</w:t>
      </w:r>
      <w:r>
        <w:rPr>
          <w:rFonts w:hint="eastAsia" w:ascii="Times New Roman" w:hAnsi="Times New Roman" w:eastAsia="宋体" w:cs="宋体"/>
          <w:color w:val="auto"/>
        </w:rPr>
        <w:t>产线上不能频繁误报</w:t>
      </w:r>
      <w:r>
        <w:rPr>
          <w:rFonts w:hint="eastAsia" w:ascii="Times New Roman" w:hAnsi="Times New Roman" w:cs="宋体"/>
          <w:color w:val="auto"/>
          <w:lang w:eastAsia="zh-CN"/>
        </w:rPr>
        <w:t>、</w:t>
      </w:r>
      <w:r>
        <w:rPr>
          <w:rFonts w:hint="eastAsia" w:ascii="Times New Roman" w:hAnsi="Times New Roman" w:cs="宋体"/>
          <w:color w:val="auto"/>
          <w:lang w:val="en-US" w:eastAsia="zh-CN"/>
        </w:rPr>
        <w:t>耽误生产</w:t>
      </w:r>
      <w:r>
        <w:rPr>
          <w:rFonts w:hint="eastAsia" w:ascii="Times New Roman" w:hAnsi="Times New Roman" w:eastAsia="宋体" w:cs="宋体"/>
          <w:color w:val="auto"/>
        </w:rPr>
        <w:t>。</w:t>
      </w:r>
    </w:p>
    <w:p w14:paraId="00025DC6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推理速度</w:t>
      </w:r>
      <w:r>
        <w:rPr>
          <w:rFonts w:hint="eastAsia" w:ascii="Times New Roman" w:hAnsi="Times New Roman" w:eastAsia="宋体" w:cs="宋体"/>
          <w:color w:val="auto"/>
        </w:rPr>
        <w:t xml:space="preserve"> 以 OpenVINO 在 CPU 上测得的平均推理耗时（ms）和每秒处理帧数（FPS）衡量，直接决定模型能否满足产线实时检测需求。</w:t>
      </w:r>
    </w:p>
    <w:p w14:paraId="12FB0BB3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br w:type="page"/>
      </w:r>
    </w:p>
    <w:p w14:paraId="65E39A74">
      <w:pPr>
        <w:pStyle w:val="4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二、实验方法与模型</w:t>
      </w:r>
    </w:p>
    <w:p w14:paraId="33559082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本次对照实验选取三个模型，在同一验证集（822 张图片，含 398 张负样本）上以相同参数（imgsz=640, conf=0.25, iou=0.45）进行评估，确保对比公平。</w:t>
      </w:r>
    </w:p>
    <w:tbl>
      <w:tblPr>
        <w:tblStyle w:val="49"/>
        <w:tblW w:w="885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6714"/>
      </w:tblGrid>
      <w:tr w14:paraId="2367F8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tblHeader/>
          <w:jc w:val="center"/>
        </w:trPr>
        <w:tc>
          <w:tcPr>
            <w:tcW w:w="2145" w:type="dxa"/>
            <w:tcBorders>
              <w:bottom w:val="single" w:color="000000" w:sz="6" w:space="0"/>
              <w:tl2br w:val="nil"/>
              <w:tr2bl w:val="nil"/>
            </w:tcBorders>
            <w:vAlign w:val="center"/>
          </w:tcPr>
          <w:p w14:paraId="23856E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模型</w:t>
            </w:r>
          </w:p>
        </w:tc>
        <w:tc>
          <w:tcPr>
            <w:tcW w:w="6714" w:type="dxa"/>
            <w:tcBorders>
              <w:bottom w:val="single" w:color="000000" w:sz="6" w:space="0"/>
              <w:tl2br w:val="nil"/>
              <w:tr2bl w:val="nil"/>
            </w:tcBorders>
            <w:vAlign w:val="center"/>
          </w:tcPr>
          <w:p w14:paraId="4F496F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53A0C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2145" w:type="dxa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7FF3E3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Official YOLOv8n</w:t>
            </w:r>
          </w:p>
        </w:tc>
        <w:tc>
          <w:tcPr>
            <w:tcW w:w="6714" w:type="dxa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22DDF5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Ultralytics 官方 COCO 预训练权重，未做任何微调</w:t>
            </w:r>
          </w:p>
        </w:tc>
      </w:tr>
      <w:tr w14:paraId="45B09E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45" w:type="dxa"/>
            <w:tcBorders>
              <w:tl2br w:val="nil"/>
              <w:tr2bl w:val="nil"/>
            </w:tcBorders>
            <w:vAlign w:val="center"/>
          </w:tcPr>
          <w:p w14:paraId="6C0CCF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Baseline</w:t>
            </w:r>
          </w:p>
        </w:tc>
        <w:tc>
          <w:tcPr>
            <w:tcW w:w="6714" w:type="dxa"/>
            <w:tcBorders>
              <w:tl2br w:val="nil"/>
              <w:tr2bl w:val="nil"/>
            </w:tcBorders>
            <w:vAlign w:val="center"/>
          </w:tcPr>
          <w:p w14:paraId="4B6FFC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基于官方权重</w:t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在鑫光板材数据集上</w:t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  <w:lang w:val="en-US" w:eastAsia="zh-CN"/>
              </w:rPr>
              <w:t>训练</w:t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 xml:space="preserve"> 50 轮，mosaic=1.0</w:t>
            </w:r>
          </w:p>
        </w:tc>
      </w:tr>
      <w:tr w14:paraId="4365A1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2145" w:type="dxa"/>
            <w:tcBorders>
              <w:tl2br w:val="nil"/>
              <w:tr2bl w:val="nil"/>
            </w:tcBorders>
            <w:vAlign w:val="center"/>
          </w:tcPr>
          <w:p w14:paraId="6F9DC5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CBAM+WIoU</w:t>
            </w:r>
          </w:p>
        </w:tc>
        <w:tc>
          <w:tcPr>
            <w:tcW w:w="6714" w:type="dxa"/>
            <w:tcBorders>
              <w:tl2br w:val="nil"/>
              <w:tr2bl w:val="nil"/>
            </w:tcBorders>
            <w:vAlign w:val="center"/>
          </w:tcPr>
          <w:p w14:paraId="1B1FD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在 Baseline 基础上添加 CBAM 注意力模块（P3 层）</w:t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  <w:lang w:val="en-US" w:eastAsia="zh-CN"/>
              </w:rPr>
              <w:t>并</w:t>
            </w: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替换为 WIoU 损失函数，训练 100 轮</w:t>
            </w:r>
          </w:p>
        </w:tc>
      </w:tr>
    </w:tbl>
    <w:p w14:paraId="73753A4D">
      <w:pPr>
        <w:rPr>
          <w:rFonts w:hint="eastAsia" w:ascii="Times New Roman" w:hAnsi="Times New Roman" w:eastAsia="宋体" w:cs="宋体"/>
          <w:color w:val="auto"/>
        </w:rPr>
      </w:pPr>
    </w:p>
    <w:p w14:paraId="418BB66B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Baseline 和 CBAM+WIoU 均基于相同的 YOLOv8n 架构和数据集配置（xinguang.yaml），唯一的区别是模型结构和损失函数的改动。</w:t>
      </w:r>
    </w:p>
    <w:p w14:paraId="278B5348">
      <w:pPr>
        <w:rPr>
          <w:rFonts w:hint="eastAsia" w:ascii="Times New Roman" w:hAnsi="Times New Roman" w:eastAsia="宋体" w:cs="宋体"/>
          <w:color w:val="auto"/>
        </w:rPr>
      </w:pPr>
    </w:p>
    <w:p w14:paraId="0E8332D8">
      <w:pPr>
        <w:rPr>
          <w:rFonts w:hint="eastAsia" w:ascii="Times New Roman" w:hAnsi="Times New Roman" w:eastAsia="宋体" w:cs="宋体"/>
          <w:color w:val="auto"/>
        </w:rPr>
      </w:pPr>
    </w:p>
    <w:p w14:paraId="25EF3A69">
      <w:pPr>
        <w:pStyle w:val="4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三、实验结果</w:t>
      </w:r>
    </w:p>
    <w:p w14:paraId="17122FC6">
      <w:pPr>
        <w:pStyle w:val="5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3.1 整体精度</w:t>
      </w:r>
    </w:p>
    <w:tbl>
      <w:tblPr>
        <w:tblStyle w:val="49"/>
        <w:tblW w:w="8856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394"/>
        <w:gridCol w:w="1928"/>
        <w:gridCol w:w="1291"/>
        <w:gridCol w:w="1003"/>
        <w:gridCol w:w="1003"/>
      </w:tblGrid>
      <w:tr w14:paraId="703BC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5484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模型</w:t>
            </w:r>
          </w:p>
        </w:tc>
        <w:tc>
          <w:tcPr>
            <w:tcW w:w="13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8ADD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mAP@0.5</w:t>
            </w:r>
          </w:p>
        </w:tc>
        <w:tc>
          <w:tcPr>
            <w:tcW w:w="192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A82D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mAP@0.5:0.95</w:t>
            </w:r>
          </w:p>
        </w:tc>
        <w:tc>
          <w:tcPr>
            <w:tcW w:w="12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1786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Precision</w:t>
            </w:r>
          </w:p>
        </w:tc>
        <w:tc>
          <w:tcPr>
            <w:tcW w:w="100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9E54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Recall</w:t>
            </w:r>
          </w:p>
        </w:tc>
        <w:tc>
          <w:tcPr>
            <w:tcW w:w="100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3782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F1</w:t>
            </w:r>
          </w:p>
        </w:tc>
      </w:tr>
      <w:tr w14:paraId="05103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2B98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Official YOLOv8n</w:t>
            </w:r>
          </w:p>
        </w:tc>
        <w:tc>
          <w:tcPr>
            <w:tcW w:w="13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E1B6C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0.0050</w:t>
            </w:r>
          </w:p>
        </w:tc>
        <w:tc>
          <w:tcPr>
            <w:tcW w:w="19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3A58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0.0023</w:t>
            </w:r>
          </w:p>
        </w:tc>
        <w:tc>
          <w:tcPr>
            <w:tcW w:w="12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26B03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0.0107</w:t>
            </w:r>
          </w:p>
        </w:tc>
        <w:tc>
          <w:tcPr>
            <w:tcW w:w="100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CC715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0.0311</w:t>
            </w:r>
          </w:p>
        </w:tc>
        <w:tc>
          <w:tcPr>
            <w:tcW w:w="100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6B1E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0.0159</w:t>
            </w:r>
          </w:p>
        </w:tc>
      </w:tr>
      <w:tr w14:paraId="79EF5F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354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Baseline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FC1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0.5865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FB7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0.3017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313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0.6772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BF3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0.5149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FD0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0.5850</w:t>
            </w:r>
          </w:p>
        </w:tc>
      </w:tr>
      <w:tr w14:paraId="136653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C9C25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CBAM+WIoU</w:t>
            </w:r>
          </w:p>
        </w:tc>
        <w:tc>
          <w:tcPr>
            <w:tcW w:w="13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FB151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0.5712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6ED6E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0.2818</w:t>
            </w:r>
          </w:p>
        </w:tc>
        <w:tc>
          <w:tcPr>
            <w:tcW w:w="12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688B6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0.6660</w:t>
            </w:r>
          </w:p>
        </w:tc>
        <w:tc>
          <w:tcPr>
            <w:tcW w:w="100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74066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0.5138</w:t>
            </w:r>
          </w:p>
        </w:tc>
        <w:tc>
          <w:tcPr>
            <w:tcW w:w="100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D9D3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0.5801</w:t>
            </w:r>
          </w:p>
        </w:tc>
      </w:tr>
    </w:tbl>
    <w:p w14:paraId="367EFB9F">
      <w:pPr>
        <w:rPr>
          <w:rFonts w:hint="eastAsia" w:ascii="Times New Roman" w:hAnsi="Times New Roman" w:eastAsia="宋体" w:cs="宋体"/>
          <w:color w:val="auto"/>
        </w:rPr>
      </w:pPr>
    </w:p>
    <w:p w14:paraId="0047D7A5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Official YOLOv8n 的 mAP50 仅 0.005，几乎无法检测任何瑕疵，说明 COCO 预训练权重对工业板材瑕疵场景没有迁移能力，微调是必要的。</w:t>
      </w:r>
    </w:p>
    <w:p w14:paraId="739EEB77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对比 Baseline 和 CBAM+WIoU，后者在全部精度指标上均低于 Baseline：mAP50 低 2.6%，mAP50-95 低 6.6%，F1 低 0.8%。CBAM+WIoU 的改动不仅没有带来提升，反而造成了全面退化。值得注意的是 mAP50-95 的降幅（6.6%）远大于 mAP50 的降幅（2.6%），说明 CBAM+WIoU 的定位精度退化更为严重。</w:t>
      </w:r>
    </w:p>
    <w:p w14:paraId="62C38B7E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br w:type="page"/>
      </w:r>
    </w:p>
    <w:p w14:paraId="513C984A">
      <w:pPr>
        <w:pStyle w:val="5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3.2 每类检测能力</w:t>
      </w:r>
    </w:p>
    <w:p w14:paraId="219BE127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下表展示三个瑕疵类别的 AP50 和 Recall，用于定位模型在哪些具体类型上存在差异。</w:t>
      </w:r>
    </w:p>
    <w:tbl>
      <w:tblPr>
        <w:tblStyle w:val="49"/>
        <w:tblW w:w="8856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194"/>
        <w:gridCol w:w="1194"/>
        <w:gridCol w:w="1194"/>
        <w:gridCol w:w="1228"/>
        <w:gridCol w:w="1229"/>
        <w:gridCol w:w="1229"/>
      </w:tblGrid>
      <w:tr w14:paraId="167A07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DD5D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模型</w:t>
            </w:r>
          </w:p>
        </w:tc>
        <w:tc>
          <w:tcPr>
            <w:tcW w:w="11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87D2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defect_2 AP50</w:t>
            </w:r>
          </w:p>
        </w:tc>
        <w:tc>
          <w:tcPr>
            <w:tcW w:w="11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0F68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defect_3 AP50</w:t>
            </w:r>
          </w:p>
        </w:tc>
        <w:tc>
          <w:tcPr>
            <w:tcW w:w="11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197C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defect_6 AP50</w:t>
            </w:r>
          </w:p>
        </w:tc>
        <w:tc>
          <w:tcPr>
            <w:tcW w:w="122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A49E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defect_2 Recall</w:t>
            </w:r>
          </w:p>
        </w:tc>
        <w:tc>
          <w:tcPr>
            <w:tcW w:w="12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18D4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defect_3 Recall</w:t>
            </w:r>
          </w:p>
        </w:tc>
        <w:tc>
          <w:tcPr>
            <w:tcW w:w="12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BC4E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defect_6 Recall</w:t>
            </w:r>
          </w:p>
        </w:tc>
      </w:tr>
      <w:tr w14:paraId="6A1B4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65C2D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Official YOLOv8n</w:t>
            </w:r>
          </w:p>
        </w:tc>
        <w:tc>
          <w:tcPr>
            <w:tcW w:w="11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0C01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0.0128</w:t>
            </w:r>
          </w:p>
        </w:tc>
        <w:tc>
          <w:tcPr>
            <w:tcW w:w="11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EED18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0.0000</w:t>
            </w:r>
          </w:p>
        </w:tc>
        <w:tc>
          <w:tcPr>
            <w:tcW w:w="11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C2813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0.0021</w:t>
            </w:r>
          </w:p>
        </w:tc>
        <w:tc>
          <w:tcPr>
            <w:tcW w:w="12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9F07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0.0933</w:t>
            </w:r>
          </w:p>
        </w:tc>
        <w:tc>
          <w:tcPr>
            <w:tcW w:w="122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D876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0.0000</w:t>
            </w:r>
          </w:p>
        </w:tc>
        <w:tc>
          <w:tcPr>
            <w:tcW w:w="122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2F09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0.0000</w:t>
            </w:r>
          </w:p>
        </w:tc>
      </w:tr>
      <w:tr w14:paraId="0FF8C8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D69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Baseline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564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0.4167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934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0.6894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283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0.6533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31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0.3785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3A0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0.5349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67A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0.6312</w:t>
            </w:r>
          </w:p>
        </w:tc>
      </w:tr>
      <w:tr w14:paraId="37CAF1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58BB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CBAM+WIoU</w:t>
            </w:r>
          </w:p>
        </w:tc>
        <w:tc>
          <w:tcPr>
            <w:tcW w:w="11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28A40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0.3619</w:t>
            </w:r>
          </w:p>
        </w:tc>
        <w:tc>
          <w:tcPr>
            <w:tcW w:w="11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85A3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0.6834</w:t>
            </w:r>
          </w:p>
        </w:tc>
        <w:tc>
          <w:tcPr>
            <w:tcW w:w="11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1E13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0.6682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99990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0.3340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2E25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0.6047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4A6D0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0.6028</w:t>
            </w:r>
          </w:p>
        </w:tc>
      </w:tr>
    </w:tbl>
    <w:p w14:paraId="785382AD">
      <w:pPr>
        <w:rPr>
          <w:rFonts w:hint="eastAsia" w:ascii="Times New Roman" w:hAnsi="Times New Roman" w:eastAsia="宋体" w:cs="宋体"/>
          <w:color w:val="auto"/>
        </w:rPr>
      </w:pPr>
    </w:p>
    <w:p w14:paraId="1151C554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三个模型都呈现出相同的规律：defect_2 最难检测，defect_3 和 defect_6 相对容易。Baseline 的 defect_2 AP50 仅 0.4167、Recall 仅 0.3785，意味着超过 60% 的 defect_2 被漏检，这是当前系统的核心瓶颈。</w:t>
      </w:r>
    </w:p>
    <w:p w14:paraId="218758FA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CBAM+WIoU 对不同类别产生了分化效果：defect_2 进一步恶化（AP50 下降 13.2%，Recall 下降 11.8%），defect_3 的 Recall 反而明显提升（从 0.5349 升至 0.6047，+13%），defect_6 基本持平。这说明 CBAM 注意力机制或 WIoU 损失函数对不同特征的瑕疵产生了截然不同的影响，两者捆绑在一起时，对 defect_3 的正面贡献被对 defect_2 的负面效应所抵消。</w:t>
      </w:r>
    </w:p>
    <w:p w14:paraId="47BA67A2">
      <w:pPr>
        <w:rPr>
          <w:rFonts w:hint="eastAsia" w:ascii="Times New Roman" w:hAnsi="Times New Roman" w:eastAsia="宋体" w:cs="宋体"/>
          <w:color w:val="auto"/>
        </w:rPr>
      </w:pPr>
    </w:p>
    <w:p w14:paraId="58BCAC56">
      <w:pPr>
        <w:rPr>
          <w:rFonts w:hint="eastAsia" w:ascii="Times New Roman" w:hAnsi="Times New Roman" w:eastAsia="宋体" w:cs="宋体"/>
          <w:color w:val="auto"/>
        </w:rPr>
      </w:pPr>
    </w:p>
    <w:p w14:paraId="2B000F65">
      <w:pPr>
        <w:pStyle w:val="5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3.3 负样本误报率</w:t>
      </w:r>
    </w:p>
    <w:tbl>
      <w:tblPr>
        <w:tblStyle w:val="49"/>
        <w:tblW w:w="885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8"/>
        <w:gridCol w:w="1396"/>
        <w:gridCol w:w="1671"/>
        <w:gridCol w:w="1396"/>
        <w:gridCol w:w="1049"/>
        <w:gridCol w:w="951"/>
      </w:tblGrid>
      <w:tr w14:paraId="7ACA7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0AAD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模型</w:t>
            </w:r>
          </w:p>
        </w:tc>
        <w:tc>
          <w:tcPr>
            <w:tcW w:w="13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9246F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负样本数</w:t>
            </w:r>
          </w:p>
        </w:tc>
        <w:tc>
          <w:tcPr>
            <w:tcW w:w="16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E0D4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有假框图片</w:t>
            </w:r>
          </w:p>
        </w:tc>
        <w:tc>
          <w:tcPr>
            <w:tcW w:w="13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F4607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假框总数</w:t>
            </w:r>
          </w:p>
        </w:tc>
        <w:tc>
          <w:tcPr>
            <w:tcW w:w="104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299C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FPPI</w:t>
            </w:r>
          </w:p>
        </w:tc>
        <w:tc>
          <w:tcPr>
            <w:tcW w:w="9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233C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状态</w:t>
            </w:r>
          </w:p>
        </w:tc>
      </w:tr>
      <w:tr w14:paraId="71A87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46CC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Official YOLOv8n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ACC2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398</w:t>
            </w:r>
          </w:p>
        </w:tc>
        <w:tc>
          <w:tcPr>
            <w:tcW w:w="16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2DE2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12</w:t>
            </w:r>
          </w:p>
        </w:tc>
        <w:tc>
          <w:tcPr>
            <w:tcW w:w="13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AA70D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10552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0.0352</w:t>
            </w:r>
          </w:p>
        </w:tc>
        <w:tc>
          <w:tcPr>
            <w:tcW w:w="9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1D0CF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PASS</w:t>
            </w:r>
          </w:p>
        </w:tc>
      </w:tr>
      <w:tr w14:paraId="6881B3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278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Baseline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691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398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8A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D1C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29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FD1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0.0729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F36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PASS</w:t>
            </w:r>
          </w:p>
        </w:tc>
      </w:tr>
      <w:tr w14:paraId="533E17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FFB4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CBAM+WIoU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DC629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398</w:t>
            </w:r>
          </w:p>
        </w:tc>
        <w:tc>
          <w:tcPr>
            <w:tcW w:w="16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94DDE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29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4B222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32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7B961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0.0804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8C63E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PASS</w:t>
            </w:r>
          </w:p>
        </w:tc>
      </w:tr>
    </w:tbl>
    <w:p w14:paraId="1C2F8E57">
      <w:pPr>
        <w:rPr>
          <w:rFonts w:hint="eastAsia" w:ascii="Times New Roman" w:hAnsi="Times New Roman" w:eastAsia="宋体" w:cs="宋体"/>
          <w:color w:val="auto"/>
        </w:rPr>
      </w:pPr>
    </w:p>
    <w:p w14:paraId="3826F5F6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三个模型的 FPPI 均低于 0.1 的工业部署阈值，误报率可控。但 CBAM+WIoU 的 FPPI（0.0804）比 Baseline（0.0729）高 10%，说明在无瑕疵图片上更容易产生误检，这在产线场景中意味着更高的停机复查成本。</w:t>
      </w:r>
    </w:p>
    <w:p w14:paraId="5DC3027D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br w:type="page"/>
      </w:r>
    </w:p>
    <w:p w14:paraId="7B117D65">
      <w:pPr>
        <w:pStyle w:val="5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3.4 推理速度</w:t>
      </w:r>
    </w:p>
    <w:tbl>
      <w:tblPr>
        <w:tblStyle w:val="49"/>
        <w:tblW w:w="8852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7"/>
        <w:gridCol w:w="2659"/>
        <w:gridCol w:w="1808"/>
        <w:gridCol w:w="1808"/>
      </w:tblGrid>
      <w:tr w14:paraId="450BAC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AA370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模型</w:t>
            </w:r>
          </w:p>
        </w:tc>
        <w:tc>
          <w:tcPr>
            <w:tcW w:w="26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DB8C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平均推理耗时(ms)</w:t>
            </w:r>
          </w:p>
        </w:tc>
        <w:tc>
          <w:tcPr>
            <w:tcW w:w="18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01E5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纯推理FPS</w:t>
            </w:r>
          </w:p>
        </w:tc>
        <w:tc>
          <w:tcPr>
            <w:tcW w:w="18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A92F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b/>
                <w:color w:val="auto"/>
                <w:sz w:val="20"/>
              </w:rPr>
              <w:t>端到端FPS</w:t>
            </w:r>
          </w:p>
        </w:tc>
      </w:tr>
      <w:tr w14:paraId="1F4EB2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6530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Official YOLOv8n</w:t>
            </w:r>
          </w:p>
        </w:tc>
        <w:tc>
          <w:tcPr>
            <w:tcW w:w="265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F75521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9.89</w:t>
            </w:r>
          </w:p>
        </w:tc>
        <w:tc>
          <w:tcPr>
            <w:tcW w:w="18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277E9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101.08</w:t>
            </w:r>
          </w:p>
        </w:tc>
        <w:tc>
          <w:tcPr>
            <w:tcW w:w="18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1F647B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51.84</w:t>
            </w:r>
          </w:p>
        </w:tc>
      </w:tr>
      <w:tr w14:paraId="2B1EA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455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Baseline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45E9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7.06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3CB8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141.57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A343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77.87</w:t>
            </w:r>
          </w:p>
        </w:tc>
      </w:tr>
      <w:tr w14:paraId="7970C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5BE0A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CBAM+WIoU</w:t>
            </w:r>
          </w:p>
        </w:tc>
        <w:tc>
          <w:tcPr>
            <w:tcW w:w="26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23AD3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13.19</w:t>
            </w:r>
          </w:p>
        </w:tc>
        <w:tc>
          <w:tcPr>
            <w:tcW w:w="18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18A3E5E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75.81</w:t>
            </w:r>
          </w:p>
        </w:tc>
        <w:tc>
          <w:tcPr>
            <w:tcW w:w="18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C1B54D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Times New Roman" w:eastAsia="宋体" w:cs="宋体"/>
                <w:color w:val="auto"/>
                <w:sz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0"/>
              </w:rPr>
              <w:t>52.56</w:t>
            </w:r>
          </w:p>
        </w:tc>
      </w:tr>
    </w:tbl>
    <w:p w14:paraId="490DD02E">
      <w:pPr>
        <w:rPr>
          <w:rFonts w:hint="eastAsia" w:ascii="Times New Roman" w:hAnsi="Times New Roman" w:eastAsia="宋体" w:cs="宋体"/>
          <w:color w:val="auto"/>
        </w:rPr>
      </w:pPr>
    </w:p>
    <w:p w14:paraId="7DAA8EA4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CBAM 注意力模块带来了显著的计算开销：推理耗时从 Baseline 的 7.06ms 飙升至 13.19ms，增幅达 87%；FPS 从 141.57 降至 75.81，降幅 46%。这意味着 CBAM+WIoU 的推理速度不到 Baseline 的一半。在 DK2500 等边缘设备上，这一差距会更加明显。</w:t>
      </w:r>
    </w:p>
    <w:p w14:paraId="3116AECA">
      <w:pPr>
        <w:rPr>
          <w:rFonts w:hint="eastAsia" w:ascii="Times New Roman" w:hAnsi="Times New Roman" w:eastAsia="宋体" w:cs="宋体"/>
          <w:color w:val="auto"/>
        </w:rPr>
      </w:pPr>
    </w:p>
    <w:p w14:paraId="5443FBE4">
      <w:pPr>
        <w:pStyle w:val="4"/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四、分析与结论</w:t>
      </w:r>
    </w:p>
    <w:p w14:paraId="4C567B14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综合来看，CBAM+WIoU（Exp-02）的实验是失败的，但数据揭示了有价值的信息。</w:t>
      </w:r>
    </w:p>
    <w:p w14:paraId="55814991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CBAM+WIoU 对 defect_2 的全面伤害是最大的问题。</w:t>
      </w:r>
      <w:r>
        <w:rPr>
          <w:rFonts w:hint="eastAsia" w:ascii="Times New Roman" w:hAnsi="Times New Roman" w:eastAsia="宋体" w:cs="宋体"/>
          <w:color w:val="auto"/>
        </w:rPr>
        <w:t xml:space="preserve"> defect_2 本身就是三类瑕疵中最难检测的（Baseline Recall 仅 0.3785），CBAM 的注意力机制可能在 defect_2 所在的特征尺度上产生了干扰，而 WIoU 的损失函数调整可能进一步削弱了对这类低对比度瑕疵的学习信号。defect_2 的平均框尺寸约 191×194px，属于中等尺寸目标，并非小目标问题，CBAM 针对小目标增强的设计初衷可能并不匹配。</w:t>
      </w:r>
    </w:p>
    <w:p w14:paraId="0C809953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WIoU 对 defect_3 可能有正面作用。</w:t>
      </w:r>
      <w:r>
        <w:rPr>
          <w:rFonts w:hint="eastAsia" w:ascii="Times New Roman" w:hAnsi="Times New Roman" w:eastAsia="宋体" w:cs="宋体"/>
          <w:color w:val="auto"/>
        </w:rPr>
        <w:t xml:space="preserve"> CBAM+WIoU 中 defect_3 的 Recall 提升了 13%，但由于两个变量同时改动，无法确定这是 WIoU 的贡献还是 CBAM 的贡献，甚至可能是两者的交互效应。这正是需要单变量实验来拆解的原因。</w:t>
      </w:r>
    </w:p>
    <w:p w14:paraId="2213889D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b/>
          <w:color w:val="auto"/>
        </w:rPr>
        <w:t>CBAM 的速度代价过高。</w:t>
      </w:r>
      <w:r>
        <w:rPr>
          <w:rFonts w:hint="eastAsia" w:ascii="Times New Roman" w:hAnsi="Times New Roman" w:eastAsia="宋体" w:cs="宋体"/>
          <w:color w:val="auto"/>
        </w:rPr>
        <w:t xml:space="preserve"> 87% 的推理耗时增长对于嵌入式部署来说是难以接受的，除非 CBAM 能带来显著的精度提升来证明其价值。目前的数据并不支持这一点。</w:t>
      </w:r>
    </w:p>
    <w:p w14:paraId="74D959E3">
      <w:pPr>
        <w:rPr>
          <w:rFonts w:hint="eastAsia" w:ascii="Times New Roman" w:hAnsi="Times New Roman" w:eastAsia="宋体" w:cs="宋体"/>
          <w:color w:val="auto"/>
        </w:rPr>
      </w:pPr>
      <w:r>
        <w:rPr>
          <w:rFonts w:hint="eastAsia" w:ascii="Times New Roman" w:hAnsi="Times New Roman" w:eastAsia="宋体" w:cs="宋体"/>
          <w:color w:val="auto"/>
        </w:rPr>
        <w:t>基于以上分析，下一步建议按单变量原则拆解实验：先单独测试 WIoU 损失函数（Exp-03），验证其对 defect_3 的提升效果以及对 defect_2 的影响；再单独测试 CBAM 注意力模块（Exp-04），评估其精度收益是否值得速度代价。每轮先以 20 轮快速消融验证趋势，确认有效后再跑全量。</w:t>
      </w: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0CAE"/>
    <w:rsid w:val="117874EE"/>
    <w:rsid w:val="1DFF1DFB"/>
    <w:rsid w:val="1FB37FF3"/>
    <w:rsid w:val="210E7527"/>
    <w:rsid w:val="217557F8"/>
    <w:rsid w:val="26A83F7A"/>
    <w:rsid w:val="32427031"/>
    <w:rsid w:val="3A5F3943"/>
    <w:rsid w:val="3AB40CE8"/>
    <w:rsid w:val="3FC13A60"/>
    <w:rsid w:val="424010B3"/>
    <w:rsid w:val="43452E25"/>
    <w:rsid w:val="45DF06EC"/>
    <w:rsid w:val="48A0157E"/>
    <w:rsid w:val="54CC4F4B"/>
    <w:rsid w:val="67AB6E4B"/>
    <w:rsid w:val="68C917E7"/>
    <w:rsid w:val="6AA10091"/>
    <w:rsid w:val="6EA87BE8"/>
    <w:rsid w:val="7F12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1712</Words>
  <Characters>2954</Characters>
  <Lines>0</Lines>
  <Paragraphs>0</Paragraphs>
  <TotalTime>1</TotalTime>
  <ScaleCrop>false</ScaleCrop>
  <LinksUpToDate>false</LinksUpToDate>
  <CharactersWithSpaces>3171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袁康睿</cp:lastModifiedBy>
  <dcterms:modified xsi:type="dcterms:W3CDTF">2026-05-31T07:00:30Z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eyJoZGlkIjoiMzEwNTM5NzYwMDRjMzkwZTVkZjY2ODkwMGIxNGU0OTUiLCJ1c2VySWQiOiIxNjY3NDAyOTY4In0=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BC0BDCF73E4745AF8784456C49455D73_12</vt:lpwstr>
  </property>
</Properties>
</file>