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黑体"/>
          <w:b/>
          <w:sz w:val="36"/>
        </w:rPr>
        <w:t>ECR-Repair 一区版最新理论路线与完整升级计划</w:t>
      </w:r>
    </w:p>
    <w:p>
      <w:pPr>
        <w:jc w:val="center"/>
      </w:pPr>
      <w:r>
        <w:rPr>
          <w:rFonts w:ascii="Aptos" w:hAnsi="Aptos" w:eastAsia="黑体"/>
          <w:b/>
          <w:sz w:val="28"/>
        </w:rPr>
        <w:t>冻结版（研究主线、理论框架、方法架构、数据集与实验体系）</w:t>
      </w:r>
    </w:p>
    <w:p/>
    <w:p>
      <w:pPr>
        <w:jc w:val="center"/>
      </w:pPr>
      <w:r>
        <w:rPr>
          <w:rFonts w:ascii="Aptos" w:hAnsi="Aptos" w:eastAsia="宋体"/>
          <w:sz w:val="22"/>
        </w:rPr>
        <w:t>版本：V1.7 研究路线冻结稿</w:t>
      </w:r>
    </w:p>
    <w:p>
      <w:pPr>
        <w:jc w:val="center"/>
      </w:pPr>
      <w:r>
        <w:rPr>
          <w:rFonts w:ascii="Aptos" w:hAnsi="Aptos" w:eastAsia="宋体"/>
          <w:sz w:val="21"/>
        </w:rPr>
        <w:t>用途：作为后续代码、数据集、实验、论文撰写与投稿决策的唯一基准</w:t>
      </w:r>
    </w:p>
    <w:p/>
    <w:tbl>
      <w:tblPr>
        <w:tblStyle w:val="TableGrid"/>
        <w:tblW w:type="auto" w:w="0"/>
        <w:jc w:val="center"/>
        <w:tblLook w:firstColumn="1" w:firstRow="1" w:lastColumn="0" w:lastRow="0" w:noHBand="0" w:noVBand="1" w:val="04A0"/>
      </w:tblPr>
      <w:tblGrid>
        <w:gridCol w:w="9518"/>
      </w:tblGrid>
      <w:tr>
        <w:tc>
          <w:tcPr>
            <w:tcW w:type="dxa" w:w="9518"/>
            <w:shd w:fill="FFF2CC"/>
          </w:tcPr>
          <w:p>
            <w:pPr>
              <w:spacing w:after="0"/>
            </w:pPr>
            <w:r>
              <w:rPr>
                <w:rFonts w:ascii="Aptos" w:hAnsi="Aptos" w:eastAsia="宋体"/>
                <w:sz w:val="18"/>
              </w:rPr>
            </w:r>
            <w:r>
              <w:rPr>
                <w:rFonts w:ascii="Aptos" w:hAnsi="Aptos" w:eastAsia="宋体"/>
                <w:b/>
                <w:sz w:val="18"/>
              </w:rPr>
              <w:t>冻结原则：除非后续系统性文献检索或真实实验揭示根本性问题，不再随意改变研究问题和核心方法主线。新增模块必须能对应明确的审稿风险、算法必要性和可验证实验；不能为了“显得复杂”而堆叠名词。</w:t>
            </w:r>
          </w:p>
        </w:tc>
      </w:tr>
    </w:tbl>
    <w:p>
      <w:r/>
    </w:p>
    <w:p>
      <w:pPr>
        <w:pStyle w:val="Heading1"/>
      </w:pPr>
      <w:r>
        <w:t>0. 执行摘要：最终研究主线</w:t>
      </w:r>
    </w:p>
    <w:p>
      <w:pPr>
        <w:pStyle w:val="SmallNote"/>
      </w:pPr>
      <w:r>
        <w:rPr>
          <w:rFonts w:ascii="Aptos" w:hAnsi="Aptos" w:eastAsia="宋体"/>
          <w:b/>
          <w:i/>
          <w:sz w:val="18"/>
        </w:rPr>
        <w:t>V1.7 关键修订（Deterministic Compiler-First Refinement）：V1.7将最小可用确定性编译器Γ确立为首要技术核心：① 先对RFC 213的Gold Repair进行构造分布审计，选择覆盖率最高的3–5种IR构造；② 将自然语言规范解析与Γ彻底分离，Γ只接收经过Schema与前置条件验证的Repair IR；③ Γ采用穷举switch/match、固定规范化与失败原子化实现，不调用LLM、不检索、不采样；④ 以Gold IR→OWL独立实验验证编译实现，并证明确定性与拒绝安全性；⑤ SES保留为端到端唯一主终点，同时增加覆盖率约束、风险—覆盖曲线与失败分解；⑥ RFC 213作为确认性核心，保险与医疗改为试点后功效驱动扩展；⑦ 建立初稿264与冻结213之间的逐事件数据谱系。</w:t>
      </w:r>
    </w:p>
    <w:p>
      <w:r>
        <w:t>本研究聚焦动态版本化外部规范持续演化时出现的一类关键知识维护问题：旧本体在描述逻辑意义上仍可能保持一致，但已经相对于当前有效规范发生语义过时，进而导致下游推理错误。因此，论文不把“逻辑不一致修复”作为核心，而把“逻辑一致但语义过时的本体状态”定义为主要研究对象。</w:t>
      </w:r>
    </w:p>
    <w:p>
      <w:pPr>
        <w:pStyle w:val="EquationBlock"/>
        <w:jc w:val="center"/>
      </w:pPr>
      <w:r>
        <w:rPr>
          <w:rFonts w:ascii="Cambria Math" w:hAnsi="Cambria Math" w:eastAsia="Cambria Math"/>
          <w:sz w:val="21"/>
        </w:rPr>
        <w:t>Dynamic Versioned Evidence → Semantic Drift → Evidence-Constrained Neuro-Symbolic Repair → Verified Ontology Transition → Version-Aware Reasoning Recovery</w:t>
      </w:r>
    </w:p>
    <w:p>
      <w:r>
        <w:t>最终系统由候选无关的证据检索、漂移检测与定位、候选盲神经语义理解、Semantic IR、有限修复空间生成、规范语义解析、证据感知的符号决策、约束式最小修复、OWL Axiom-level Patch、可选的一次符号诊断反馈、基于syntactic locality的局部增量验证、完整本体CQ推理恢复和专家审批组成。ECR-Repair仍是核心；版本约束改为可执行状态不变量，Symbolic Feedback从主干降级为条件安全分支；医疗与保险实验统一采用真实公开版本化规范加研究者构建的任务本体，避免对受限商业本体的许可依赖。</w:t>
      </w:r>
    </w:p>
    <w:tbl>
      <w:tblPr>
        <w:tblStyle w:val="TableGrid"/>
        <w:tblW w:type="auto" w:w="0"/>
        <w:jc w:val="center"/>
        <w:tblLook w:firstColumn="1" w:firstRow="1" w:lastColumn="0" w:lastRow="0" w:noHBand="0" w:noVBand="1" w:val="04A0"/>
      </w:tblPr>
      <w:tblGrid>
        <w:gridCol w:w="3173"/>
        <w:gridCol w:w="3173"/>
        <w:gridCol w:w="3173"/>
      </w:tblGrid>
      <w:tr>
        <w:tc>
          <w:tcPr>
            <w:tcW w:type="dxa" w:w="1871"/>
            <w:shd w:fill="D9EAF7"/>
            <w:vAlign w:val="center"/>
          </w:tcPr>
          <w:p>
            <w:pPr>
              <w:spacing w:after="0"/>
            </w:pPr>
            <w:r>
              <w:rPr>
                <w:rFonts w:ascii="Aptos" w:hAnsi="Aptos" w:eastAsia="宋体"/>
                <w:sz w:val="18"/>
              </w:rPr>
            </w:r>
            <w:r>
              <w:rPr>
                <w:rFonts w:ascii="Aptos" w:hAnsi="Aptos" w:eastAsia="宋体"/>
                <w:b/>
                <w:sz w:val="18"/>
              </w:rPr>
              <w:t>层次</w:t>
            </w:r>
          </w:p>
        </w:tc>
        <w:tc>
          <w:tcPr>
            <w:tcW w:type="dxa" w:w="5386"/>
            <w:shd w:fill="D9EAF7"/>
            <w:vAlign w:val="center"/>
          </w:tcPr>
          <w:p>
            <w:pPr>
              <w:spacing w:after="0"/>
            </w:pPr>
            <w:r>
              <w:rPr>
                <w:rFonts w:ascii="Aptos" w:hAnsi="Aptos" w:eastAsia="宋体"/>
                <w:sz w:val="18"/>
              </w:rPr>
            </w:r>
            <w:r>
              <w:rPr>
                <w:rFonts w:ascii="Aptos" w:hAnsi="Aptos" w:eastAsia="宋体"/>
                <w:b/>
                <w:sz w:val="18"/>
              </w:rPr>
              <w:t>最终定位</w:t>
            </w:r>
          </w:p>
        </w:tc>
        <w:tc>
          <w:tcPr>
            <w:tcW w:type="dxa" w:w="1701"/>
            <w:shd w:fill="D9EAF7"/>
            <w:vAlign w:val="center"/>
          </w:tcPr>
          <w:p>
            <w:pPr>
              <w:spacing w:after="0"/>
            </w:pPr>
            <w:r>
              <w:rPr>
                <w:rFonts w:ascii="Aptos" w:hAnsi="Aptos" w:eastAsia="宋体"/>
                <w:sz w:val="18"/>
              </w:rPr>
            </w:r>
            <w:r>
              <w:rPr>
                <w:rFonts w:ascii="Aptos" w:hAnsi="Aptos" w:eastAsia="宋体"/>
                <w:b/>
                <w:sz w:val="18"/>
              </w:rPr>
              <w:t>是否核心贡献</w:t>
            </w:r>
          </w:p>
        </w:tc>
      </w:tr>
      <w:tr>
        <w:tc>
          <w:tcPr>
            <w:tcW w:type="dxa" w:w="1871"/>
            <w:vAlign w:val="top"/>
          </w:tcPr>
          <w:p>
            <w:pPr>
              <w:spacing w:after="0"/>
            </w:pPr>
            <w:r>
              <w:rPr>
                <w:rFonts w:ascii="Aptos" w:hAnsi="Aptos" w:eastAsia="宋体"/>
                <w:sz w:val="18"/>
              </w:rPr>
            </w:r>
            <w:r>
              <w:rPr>
                <w:rFonts w:ascii="Aptos" w:hAnsi="Aptos" w:eastAsia="宋体"/>
                <w:b w:val="0"/>
                <w:sz w:val="18"/>
              </w:rPr>
              <w:t>研究问题</w:t>
            </w:r>
          </w:p>
        </w:tc>
        <w:tc>
          <w:tcPr>
            <w:tcW w:type="dxa" w:w="5386"/>
            <w:vAlign w:val="top"/>
          </w:tcPr>
          <w:p>
            <w:pPr>
              <w:spacing w:after="0"/>
            </w:pPr>
            <w:r>
              <w:rPr>
                <w:rFonts w:ascii="Aptos" w:hAnsi="Aptos" w:eastAsia="宋体"/>
                <w:sz w:val="18"/>
              </w:rPr>
            </w:r>
            <w:r>
              <w:rPr>
                <w:rFonts w:ascii="Aptos" w:hAnsi="Aptos" w:eastAsia="宋体"/>
                <w:b w:val="0"/>
                <w:sz w:val="18"/>
              </w:rPr>
              <w:t>动态版本知识演化下，逻辑一致但语义过时的本体修复</w:t>
            </w:r>
          </w:p>
        </w:tc>
        <w:tc>
          <w:tcPr>
            <w:tcW w:type="dxa" w:w="1701"/>
            <w:vAlign w:val="top"/>
          </w:tcPr>
          <w:p>
            <w:pPr>
              <w:spacing w:after="0"/>
            </w:pPr>
            <w:r>
              <w:rPr>
                <w:rFonts w:ascii="Aptos" w:hAnsi="Aptos" w:eastAsia="宋体"/>
                <w:sz w:val="18"/>
              </w:rPr>
            </w:r>
            <w:r>
              <w:rPr>
                <w:rFonts w:ascii="Aptos" w:hAnsi="Aptos" w:eastAsia="宋体"/>
                <w:b w:val="0"/>
                <w:sz w:val="18"/>
              </w:rPr>
              <w:t>是</w:t>
            </w:r>
          </w:p>
        </w:tc>
      </w:tr>
      <w:tr>
        <w:tc>
          <w:tcPr>
            <w:tcW w:type="dxa" w:w="1871"/>
            <w:vAlign w:val="top"/>
          </w:tcPr>
          <w:p>
            <w:pPr>
              <w:spacing w:after="0"/>
            </w:pPr>
            <w:r>
              <w:rPr>
                <w:rFonts w:ascii="Aptos" w:hAnsi="Aptos" w:eastAsia="宋体"/>
                <w:sz w:val="18"/>
              </w:rPr>
            </w:r>
            <w:r>
              <w:rPr>
                <w:rFonts w:ascii="Aptos" w:hAnsi="Aptos" w:eastAsia="宋体"/>
                <w:b w:val="0"/>
                <w:sz w:val="18"/>
              </w:rPr>
              <w:t>理论核心</w:t>
            </w:r>
          </w:p>
        </w:tc>
        <w:tc>
          <w:tcPr>
            <w:tcW w:type="dxa" w:w="5386"/>
            <w:vAlign w:val="top"/>
          </w:tcPr>
          <w:p>
            <w:pPr>
              <w:spacing w:after="0"/>
            </w:pPr>
            <w:r>
              <w:rPr>
                <w:rFonts w:ascii="Aptos" w:hAnsi="Aptos" w:eastAsia="宋体"/>
                <w:sz w:val="18"/>
              </w:rPr>
            </w:r>
            <w:r>
              <w:rPr>
                <w:rFonts w:ascii="Aptos" w:hAnsi="Aptos" w:eastAsia="宋体"/>
                <w:b w:val="0"/>
                <w:sz w:val="18"/>
              </w:rPr>
              <w:t>Evidence-Constrained Semantic Ontology Repair</w:t>
            </w:r>
          </w:p>
        </w:tc>
        <w:tc>
          <w:tcPr>
            <w:tcW w:type="dxa" w:w="1701"/>
            <w:vAlign w:val="top"/>
          </w:tcPr>
          <w:p>
            <w:pPr>
              <w:spacing w:after="0"/>
            </w:pPr>
            <w:r>
              <w:rPr>
                <w:rFonts w:ascii="Aptos" w:hAnsi="Aptos" w:eastAsia="宋体"/>
                <w:sz w:val="18"/>
              </w:rPr>
            </w:r>
            <w:r>
              <w:rPr>
                <w:rFonts w:ascii="Aptos" w:hAnsi="Aptos" w:eastAsia="宋体"/>
                <w:b w:val="0"/>
                <w:sz w:val="18"/>
              </w:rPr>
              <w:t>是</w:t>
            </w:r>
          </w:p>
        </w:tc>
      </w:tr>
      <w:tr>
        <w:tc>
          <w:tcPr>
            <w:tcW w:type="dxa" w:w="1871"/>
            <w:vAlign w:val="top"/>
          </w:tcPr>
          <w:p>
            <w:pPr>
              <w:spacing w:after="0"/>
            </w:pPr>
            <w:r>
              <w:rPr>
                <w:rFonts w:ascii="Aptos" w:hAnsi="Aptos" w:eastAsia="宋体"/>
                <w:sz w:val="18"/>
              </w:rPr>
            </w:r>
            <w:r>
              <w:rPr>
                <w:rFonts w:ascii="Aptos" w:hAnsi="Aptos" w:eastAsia="宋体"/>
                <w:b w:val="0"/>
                <w:sz w:val="18"/>
              </w:rPr>
              <w:t>架构核心</w:t>
            </w:r>
          </w:p>
        </w:tc>
        <w:tc>
          <w:tcPr>
            <w:tcW w:type="dxa" w:w="5386"/>
            <w:vAlign w:val="top"/>
          </w:tcPr>
          <w:p>
            <w:pPr>
              <w:spacing w:after="0"/>
            </w:pPr>
            <w:r>
              <w:rPr>
                <w:rFonts w:ascii="Aptos" w:hAnsi="Aptos" w:eastAsia="宋体"/>
                <w:sz w:val="18"/>
              </w:rPr>
            </w:r>
            <w:r>
              <w:rPr>
                <w:rFonts w:ascii="Aptos" w:hAnsi="Aptos" w:eastAsia="宋体"/>
                <w:b w:val="0"/>
                <w:sz w:val="18"/>
              </w:rPr>
              <w:t>Candidate-Isolated Neuro-Symbolic Repair</w:t>
            </w:r>
          </w:p>
        </w:tc>
        <w:tc>
          <w:tcPr>
            <w:tcW w:type="dxa" w:w="1701"/>
            <w:vAlign w:val="top"/>
          </w:tcPr>
          <w:p>
            <w:pPr>
              <w:spacing w:after="0"/>
            </w:pPr>
            <w:r>
              <w:rPr>
                <w:rFonts w:ascii="Aptos" w:hAnsi="Aptos" w:eastAsia="宋体"/>
                <w:sz w:val="18"/>
              </w:rPr>
            </w:r>
            <w:r>
              <w:rPr>
                <w:rFonts w:ascii="Aptos" w:hAnsi="Aptos" w:eastAsia="宋体"/>
                <w:b w:val="0"/>
                <w:sz w:val="18"/>
              </w:rPr>
              <w:t>是</w:t>
            </w:r>
          </w:p>
        </w:tc>
      </w:tr>
      <w:tr>
        <w:tc>
          <w:tcPr>
            <w:tcW w:type="dxa" w:w="1871"/>
            <w:vAlign w:val="top"/>
          </w:tcPr>
          <w:p>
            <w:pPr>
              <w:spacing w:after="0"/>
            </w:pPr>
            <w:r>
              <w:rPr>
                <w:rFonts w:ascii="Aptos" w:hAnsi="Aptos" w:eastAsia="宋体"/>
                <w:sz w:val="18"/>
              </w:rPr>
            </w:r>
            <w:r>
              <w:rPr>
                <w:rFonts w:ascii="Aptos" w:hAnsi="Aptos" w:eastAsia="宋体"/>
                <w:b w:val="0"/>
                <w:sz w:val="18"/>
              </w:rPr>
              <w:t>动态闭环</w:t>
            </w:r>
          </w:p>
        </w:tc>
        <w:tc>
          <w:tcPr>
            <w:tcW w:type="dxa" w:w="5386"/>
            <w:vAlign w:val="top"/>
          </w:tcPr>
          <w:p>
            <w:pPr>
              <w:spacing w:after="0"/>
            </w:pPr>
            <w:r>
              <w:rPr>
                <w:rFonts w:ascii="Aptos" w:hAnsi="Aptos" w:eastAsia="宋体"/>
                <w:sz w:val="18"/>
              </w:rPr>
            </w:r>
            <w:r>
              <w:rPr>
                <w:rFonts w:ascii="Aptos" w:hAnsi="Aptos" w:eastAsia="宋体"/>
                <w:b w:val="0"/>
                <w:sz w:val="18"/>
              </w:rPr>
              <w:t>Drift Detection → Repair → Verified Transition → Reasoning Recovery</w:t>
            </w:r>
          </w:p>
        </w:tc>
        <w:tc>
          <w:tcPr>
            <w:tcW w:type="dxa" w:w="1701"/>
            <w:vAlign w:val="top"/>
          </w:tcPr>
          <w:p>
            <w:pPr>
              <w:spacing w:after="0"/>
            </w:pPr>
            <w:r>
              <w:rPr>
                <w:rFonts w:ascii="Aptos" w:hAnsi="Aptos" w:eastAsia="宋体"/>
                <w:sz w:val="18"/>
              </w:rPr>
            </w:r>
            <w:r>
              <w:rPr>
                <w:rFonts w:ascii="Aptos" w:hAnsi="Aptos" w:eastAsia="宋体"/>
                <w:b w:val="0"/>
                <w:sz w:val="18"/>
              </w:rPr>
              <w:t>是</w:t>
            </w:r>
          </w:p>
        </w:tc>
      </w:tr>
      <w:tr>
        <w:tc>
          <w:tcPr>
            <w:tcW w:type="dxa" w:w="1871"/>
            <w:vAlign w:val="top"/>
          </w:tcPr>
          <w:p>
            <w:pPr>
              <w:spacing w:after="0"/>
            </w:pPr>
            <w:r>
              <w:rPr>
                <w:rFonts w:ascii="Aptos" w:hAnsi="Aptos" w:eastAsia="宋体"/>
                <w:sz w:val="18"/>
              </w:rPr>
            </w:r>
            <w:r>
              <w:rPr>
                <w:rFonts w:ascii="Aptos" w:hAnsi="Aptos" w:eastAsia="宋体"/>
                <w:b w:val="0"/>
                <w:sz w:val="18"/>
              </w:rPr>
              <w:t>Belief Revision</w:t>
            </w:r>
          </w:p>
        </w:tc>
        <w:tc>
          <w:tcPr>
            <w:tcW w:type="dxa" w:w="5386"/>
            <w:vAlign w:val="top"/>
          </w:tcPr>
          <w:p>
            <w:pPr>
              <w:spacing w:after="0"/>
            </w:pPr>
            <w:r>
              <w:rPr>
                <w:rFonts w:ascii="Aptos" w:hAnsi="Aptos" w:eastAsia="宋体"/>
                <w:sz w:val="18"/>
              </w:rPr>
            </w:r>
            <w:r>
              <w:rPr>
                <w:rFonts w:ascii="Aptos" w:hAnsi="Aptos" w:eastAsia="宋体"/>
                <w:b w:val="0"/>
                <w:sz w:val="18"/>
              </w:rPr>
              <w:t>证据冲突与最小变化的约束式修正</w:t>
            </w:r>
          </w:p>
        </w:tc>
        <w:tc>
          <w:tcPr>
            <w:tcW w:type="dxa" w:w="1701"/>
            <w:vAlign w:val="top"/>
          </w:tcPr>
          <w:p>
            <w:pPr>
              <w:spacing w:after="0"/>
            </w:pPr>
            <w:r>
              <w:rPr>
                <w:rFonts w:ascii="Aptos" w:hAnsi="Aptos" w:eastAsia="宋体"/>
                <w:sz w:val="18"/>
              </w:rPr>
            </w:r>
            <w:r>
              <w:rPr>
                <w:rFonts w:ascii="Aptos" w:hAnsi="Aptos" w:eastAsia="宋体"/>
                <w:b w:val="0"/>
                <w:sz w:val="18"/>
              </w:rPr>
              <w:t>支撑核心理论</w:t>
            </w:r>
          </w:p>
        </w:tc>
      </w:tr>
      <w:tr>
        <w:tc>
          <w:tcPr>
            <w:tcW w:type="dxa" w:w="1871"/>
            <w:vAlign w:val="center"/>
          </w:tcPr>
          <w:p>
            <w:pPr>
              <w:spacing w:after="0"/>
            </w:pPr>
            <w:r>
              <w:rPr>
                <w:rFonts w:ascii="Aptos" w:hAnsi="Aptos" w:eastAsia="宋体"/>
                <w:sz w:val="18"/>
              </w:rPr>
              <w:t>版本状态操作不变量</w:t>
            </w:r>
          </w:p>
        </w:tc>
        <w:tc>
          <w:tcPr>
            <w:tcW w:type="dxa" w:w="5386"/>
            <w:vAlign w:val="center"/>
          </w:tcPr>
          <w:p>
            <w:pPr>
              <w:spacing w:after="0"/>
            </w:pPr>
            <w:r>
              <w:rPr>
                <w:rFonts w:ascii="Aptos" w:hAnsi="Aptos" w:eastAsia="宋体"/>
                <w:sz w:val="18"/>
              </w:rPr>
              <w:t>有效版本选择、未来证据隔离与历史状态不可变</w:t>
            </w:r>
          </w:p>
        </w:tc>
        <w:tc>
          <w:tcPr>
            <w:tcW w:type="dxa" w:w="1701"/>
            <w:vAlign w:val="center"/>
          </w:tcPr>
          <w:p>
            <w:pPr>
              <w:spacing w:after="0"/>
            </w:pPr>
            <w:r>
              <w:rPr>
                <w:rFonts w:ascii="Aptos" w:hAnsi="Aptos" w:eastAsia="宋体"/>
                <w:sz w:val="18"/>
              </w:rPr>
              <w:t>轻量支撑</w:t>
            </w:r>
          </w:p>
        </w:tc>
      </w:tr>
      <w:tr>
        <w:tc>
          <w:tcPr>
            <w:tcW w:type="dxa" w:w="1871"/>
            <w:vAlign w:val="top"/>
          </w:tcPr>
          <w:p>
            <w:r>
              <w:rPr>
                <w:rFonts w:ascii="Aptos" w:hAnsi="Aptos" w:eastAsia="宋体"/>
                <w:sz w:val="18"/>
              </w:rPr>
              <w:t>局部增量验证</w:t>
            </w:r>
          </w:p>
        </w:tc>
        <w:tc>
          <w:tcPr>
            <w:tcW w:type="dxa" w:w="5386"/>
            <w:vAlign w:val="top"/>
          </w:tcPr>
          <w:p>
            <w:r>
              <w:rPr>
                <w:rFonts w:ascii="Aptos" w:hAnsi="Aptos" w:eastAsia="宋体"/>
                <w:sz w:val="18"/>
              </w:rPr>
              <w:t>Syntactic-locality模块抽取 + 局部验证，处理扩展性硬伤</w:t>
            </w:r>
          </w:p>
        </w:tc>
        <w:tc>
          <w:tcPr>
            <w:tcW w:type="dxa" w:w="1701"/>
            <w:vAlign w:val="top"/>
          </w:tcPr>
          <w:p>
            <w:pPr>
              <w:spacing w:after="0"/>
            </w:pPr>
            <w:r>
              <w:rPr>
                <w:rFonts w:ascii="Aptos" w:hAnsi="Aptos" w:eastAsia="宋体"/>
                <w:sz w:val="18"/>
              </w:rPr>
            </w:r>
            <w:r>
              <w:rPr>
                <w:rFonts w:ascii="Aptos" w:hAnsi="Aptos" w:eastAsia="宋体"/>
                <w:b w:val="0"/>
                <w:sz w:val="18"/>
              </w:rPr>
              <w:t>系统增强</w:t>
            </w:r>
          </w:p>
        </w:tc>
      </w:tr>
      <w:tr>
        <w:tc>
          <w:tcPr>
            <w:tcW w:type="dxa" w:w="1871"/>
            <w:vAlign w:val="top"/>
          </w:tcPr>
          <w:p>
            <w:r>
              <w:rPr>
                <w:rFonts w:ascii="Aptos" w:hAnsi="Aptos" w:eastAsia="宋体"/>
                <w:sz w:val="18"/>
              </w:rPr>
              <w:t>条件式符号反馈</w:t>
            </w:r>
          </w:p>
        </w:tc>
        <w:tc>
          <w:tcPr>
            <w:tcW w:type="dxa" w:w="5386"/>
            <w:vAlign w:val="top"/>
          </w:tcPr>
          <w:p>
            <w:r>
              <w:rPr>
                <w:rFonts w:ascii="Aptos" w:hAnsi="Aptos" w:eastAsia="宋体"/>
                <w:sz w:val="18"/>
              </w:rPr>
              <w:t>仅可恢复违规触发，最多1次；低收益时删除在线机制</w:t>
            </w:r>
          </w:p>
        </w:tc>
        <w:tc>
          <w:tcPr>
            <w:tcW w:type="dxa" w:w="1701"/>
            <w:vAlign w:val="top"/>
          </w:tcPr>
          <w:p>
            <w:pPr>
              <w:spacing w:after="0"/>
            </w:pPr>
            <w:r>
              <w:rPr>
                <w:rFonts w:ascii="Aptos" w:hAnsi="Aptos" w:eastAsia="宋体"/>
                <w:sz w:val="18"/>
              </w:rPr>
            </w:r>
            <w:r>
              <w:rPr>
                <w:rFonts w:ascii="Aptos" w:hAnsi="Aptos" w:eastAsia="宋体"/>
                <w:b w:val="0"/>
                <w:sz w:val="18"/>
              </w:rPr>
              <w:t>安全增强</w:t>
            </w:r>
          </w:p>
        </w:tc>
      </w:tr>
      <w:tr>
        <w:tc>
          <w:tcPr>
            <w:tcW w:type="dxa" w:w="1871"/>
            <w:vAlign w:val="top"/>
          </w:tcPr>
          <w:p>
            <w:pPr>
              <w:spacing w:after="0"/>
            </w:pPr>
            <w:r>
              <w:rPr>
                <w:rFonts w:ascii="Aptos" w:hAnsi="Aptos" w:eastAsia="宋体"/>
                <w:sz w:val="18"/>
              </w:rPr>
            </w:r>
            <w:r>
              <w:rPr>
                <w:rFonts w:ascii="Aptos" w:hAnsi="Aptos" w:eastAsia="宋体"/>
                <w:b w:val="0"/>
                <w:sz w:val="18"/>
              </w:rPr>
              <w:t>Expert-in-the-loop</w:t>
            </w:r>
          </w:p>
        </w:tc>
        <w:tc>
          <w:tcPr>
            <w:tcW w:type="dxa" w:w="5386"/>
            <w:vAlign w:val="top"/>
          </w:tcPr>
          <w:p>
            <w:pPr>
              <w:spacing w:after="0"/>
            </w:pPr>
            <w:r>
              <w:rPr>
                <w:rFonts w:ascii="Aptos" w:hAnsi="Aptos" w:eastAsia="宋体"/>
                <w:sz w:val="18"/>
              </w:rPr>
            </w:r>
            <w:r>
              <w:rPr>
                <w:rFonts w:ascii="Aptos" w:hAnsi="Aptos" w:eastAsia="宋体"/>
                <w:b w:val="0"/>
                <w:sz w:val="18"/>
              </w:rPr>
              <w:t>高风险领域补丁必须经过专家确认</w:t>
            </w:r>
          </w:p>
        </w:tc>
        <w:tc>
          <w:tcPr>
            <w:tcW w:type="dxa" w:w="1701"/>
            <w:vAlign w:val="top"/>
          </w:tcPr>
          <w:p>
            <w:pPr>
              <w:spacing w:after="0"/>
            </w:pPr>
            <w:r>
              <w:rPr>
                <w:rFonts w:ascii="Aptos" w:hAnsi="Aptos" w:eastAsia="宋体"/>
                <w:sz w:val="18"/>
              </w:rPr>
            </w:r>
            <w:r>
              <w:rPr>
                <w:rFonts w:ascii="Aptos" w:hAnsi="Aptos" w:eastAsia="宋体"/>
                <w:b w:val="0"/>
                <w:sz w:val="18"/>
              </w:rPr>
              <w:t>部署边界</w:t>
            </w:r>
          </w:p>
        </w:tc>
      </w:tr>
    </w:tbl>
    <w:p/>
    <w:p>
      <w:pPr>
        <w:pStyle w:val="Heading1"/>
      </w:pPr>
      <w:r>
        <w:t>1. 研究问题与论文边界</w:t>
      </w:r>
    </w:p>
    <w:p>
      <w:pPr>
        <w:pStyle w:val="Heading2"/>
      </w:pPr>
      <w:r>
        <w:t>1.1 现实问题</w:t>
      </w:r>
    </w:p>
    <w:p>
      <w:r>
        <w:t>技术标准、保险业务规则、医疗指南等知识源以版本方式持续更新。本体通常被作为规则、概念和约束的形式化表示，但本体版本更新可能滞后于外部规范版本更新，因此会出现Reasoner难以发现的状态：本体没有逻辑矛盾，却仍然使用已经失效的旧规则。</w:t>
      </w:r>
    </w:p>
    <w:p>
      <w:pPr>
        <w:pStyle w:val="EquationBlock"/>
        <w:jc w:val="center"/>
      </w:pPr>
      <w:r>
        <w:rPr>
          <w:rFonts w:ascii="Cambria Math" w:hAnsi="Cambria Math" w:eastAsia="Cambria Math"/>
          <w:sz w:val="21"/>
        </w:rPr>
        <w:t>Consistent(O_t) = 1,  but  SemanticValid(O_t, D_{t+1}, t+1) = 0</w:t>
      </w:r>
    </w:p>
    <w:p>
      <w:r>
        <w:t>该状态是全文的核心研究对象，而不是一般语法错误、三元组噪声或单纯逻辑冲突。</w:t>
      </w:r>
    </w:p>
    <w:p>
      <w:pPr>
        <w:pStyle w:val="Heading2"/>
      </w:pPr>
      <w:r>
        <w:t>1.2 研究边界</w:t>
      </w:r>
    </w:p>
    <w:p>
      <w:pPr>
        <w:ind w:left="340" w:hanging="170"/>
      </w:pPr>
      <w:r>
        <w:t xml:space="preserve">• </w:t>
      </w:r>
      <w:r>
        <w:t>外部规范存在明确或可恢复的版本关系与有效时间。</w:t>
      </w:r>
    </w:p>
    <w:p>
      <w:pPr>
        <w:ind w:left="340" w:hanging="170"/>
      </w:pPr>
      <w:r>
        <w:t xml:space="preserve">• </w:t>
      </w:r>
      <w:r>
        <w:t>系统同时处理“有漂移”和“无漂移”两类情况，避免无必要修复。</w:t>
      </w:r>
    </w:p>
    <w:p>
      <w:pPr>
        <w:ind w:left="340" w:hanging="170"/>
      </w:pPr>
      <w:r>
        <w:t xml:space="preserve">• </w:t>
      </w:r>
      <w:r>
        <w:t>核心修复任务在有限、可验证的候选空间中进行；本文不声称解决任意开放式OWL修复。</w:t>
      </w:r>
    </w:p>
    <w:p>
      <w:pPr>
        <w:ind w:left="340" w:hanging="170"/>
      </w:pPr>
      <w:r>
        <w:t xml:space="preserve">• </w:t>
      </w:r>
      <w:r>
        <w:t>增加自动漂移检测与定位以补齐现实闭环，但不把无界互联网监控作为研究对象。</w:t>
      </w:r>
    </w:p>
    <w:p>
      <w:pPr>
        <w:ind w:left="340" w:hanging="170"/>
      </w:pPr>
      <w:r>
        <w:t xml:space="preserve">• </w:t>
      </w:r>
      <w:r>
        <w:t>高风险领域中系统输出建议补丁，不自动发布到生产本体。</w:t>
      </w:r>
    </w:p>
    <w:p>
      <w:pPr>
        <w:pStyle w:val="Heading2"/>
      </w:pPr>
      <w:r>
        <w:t>1.3 术语与Claim约束</w:t>
      </w:r>
    </w:p>
    <w:tbl>
      <w:tblPr>
        <w:tblStyle w:val="TableGrid"/>
        <w:tblW w:type="auto" w:w="0"/>
        <w:jc w:val="center"/>
        <w:tblLook w:firstColumn="1" w:firstRow="1" w:lastColumn="0" w:lastRow="0" w:noHBand="0" w:noVBand="1" w:val="04A0"/>
      </w:tblPr>
      <w:tblGrid>
        <w:gridCol w:w="4759"/>
        <w:gridCol w:w="4759"/>
      </w:tblGrid>
      <w:tr>
        <w:tc>
          <w:tcPr>
            <w:tcW w:type="dxa" w:w="3061"/>
            <w:shd w:fill="D9EAF7"/>
            <w:vAlign w:val="center"/>
          </w:tcPr>
          <w:p>
            <w:pPr>
              <w:spacing w:after="0"/>
            </w:pPr>
            <w:r>
              <w:rPr>
                <w:rFonts w:ascii="Aptos" w:hAnsi="Aptos" w:eastAsia="宋体"/>
                <w:sz w:val="18"/>
              </w:rPr>
            </w:r>
            <w:r>
              <w:rPr>
                <w:rFonts w:ascii="Aptos" w:hAnsi="Aptos" w:eastAsia="宋体"/>
                <w:b/>
                <w:sz w:val="18"/>
              </w:rPr>
              <w:t>不建议表述</w:t>
            </w:r>
          </w:p>
        </w:tc>
        <w:tc>
          <w:tcPr>
            <w:tcW w:type="dxa" w:w="5783"/>
            <w:shd w:fill="D9EAF7"/>
            <w:vAlign w:val="center"/>
          </w:tcPr>
          <w:p>
            <w:pPr>
              <w:spacing w:after="0"/>
            </w:pPr>
            <w:r>
              <w:rPr>
                <w:rFonts w:ascii="Aptos" w:hAnsi="Aptos" w:eastAsia="宋体"/>
                <w:sz w:val="18"/>
              </w:rPr>
            </w:r>
            <w:r>
              <w:rPr>
                <w:rFonts w:ascii="Aptos" w:hAnsi="Aptos" w:eastAsia="宋体"/>
                <w:b/>
                <w:sz w:val="18"/>
              </w:rPr>
              <w:t>冻结后的替代表述</w:t>
            </w:r>
          </w:p>
        </w:tc>
      </w:tr>
      <w:tr>
        <w:tc>
          <w:tcPr>
            <w:tcW w:type="dxa" w:w="3061"/>
            <w:vAlign w:val="top"/>
          </w:tcPr>
          <w:p>
            <w:pPr>
              <w:spacing w:after="0"/>
            </w:pPr>
            <w:r>
              <w:rPr>
                <w:rFonts w:ascii="Aptos" w:hAnsi="Aptos" w:eastAsia="宋体"/>
                <w:sz w:val="18"/>
              </w:rPr>
            </w:r>
            <w:r>
              <w:rPr>
                <w:rFonts w:ascii="Aptos" w:hAnsi="Aptos" w:eastAsia="宋体"/>
                <w:b w:val="0"/>
                <w:sz w:val="18"/>
              </w:rPr>
              <w:t>彻底解决动态本体演化</w:t>
            </w:r>
          </w:p>
        </w:tc>
        <w:tc>
          <w:tcPr>
            <w:tcW w:type="dxa" w:w="5783"/>
            <w:vAlign w:val="top"/>
          </w:tcPr>
          <w:p>
            <w:pPr>
              <w:spacing w:after="0"/>
            </w:pPr>
            <w:r>
              <w:rPr>
                <w:rFonts w:ascii="Aptos" w:hAnsi="Aptos" w:eastAsia="宋体"/>
                <w:sz w:val="18"/>
              </w:rPr>
            </w:r>
            <w:r>
              <w:rPr>
                <w:rFonts w:ascii="Aptos" w:hAnsi="Aptos" w:eastAsia="宋体"/>
                <w:b w:val="0"/>
                <w:sz w:val="18"/>
              </w:rPr>
              <w:t>聚焦动态版本知识演化下的证据约束语义修复</w:t>
            </w:r>
          </w:p>
        </w:tc>
      </w:tr>
      <w:tr>
        <w:tc>
          <w:tcPr>
            <w:tcW w:type="dxa" w:w="3061"/>
            <w:vAlign w:val="top"/>
          </w:tcPr>
          <w:p>
            <w:pPr>
              <w:spacing w:after="0"/>
            </w:pPr>
            <w:r>
              <w:rPr>
                <w:rFonts w:ascii="Aptos" w:hAnsi="Aptos" w:eastAsia="宋体"/>
                <w:sz w:val="18"/>
              </w:rPr>
            </w:r>
            <w:r>
              <w:rPr>
                <w:rFonts w:ascii="Aptos" w:hAnsi="Aptos" w:eastAsia="宋体"/>
                <w:b w:val="0"/>
                <w:sz w:val="18"/>
              </w:rPr>
              <w:t>灾难性遗忘</w:t>
            </w:r>
          </w:p>
        </w:tc>
        <w:tc>
          <w:tcPr>
            <w:tcW w:type="dxa" w:w="5783"/>
            <w:vAlign w:val="top"/>
          </w:tcPr>
          <w:p>
            <w:pPr>
              <w:spacing w:after="0"/>
            </w:pPr>
            <w:r>
              <w:rPr>
                <w:rFonts w:ascii="Aptos" w:hAnsi="Aptos" w:eastAsia="宋体"/>
                <w:sz w:val="18"/>
              </w:rPr>
            </w:r>
            <w:r>
              <w:rPr>
                <w:rFonts w:ascii="Aptos" w:hAnsi="Aptos" w:eastAsia="宋体"/>
                <w:b w:val="0"/>
                <w:sz w:val="18"/>
              </w:rPr>
              <w:t>sequential error accumulation / longitudinal stability</w:t>
            </w:r>
          </w:p>
        </w:tc>
      </w:tr>
      <w:tr>
        <w:tc>
          <w:tcPr>
            <w:tcW w:type="dxa" w:w="3061"/>
            <w:vAlign w:val="top"/>
          </w:tcPr>
          <w:p>
            <w:pPr>
              <w:spacing w:after="0"/>
            </w:pPr>
            <w:r>
              <w:rPr>
                <w:rFonts w:ascii="Aptos" w:hAnsi="Aptos" w:eastAsia="宋体"/>
                <w:sz w:val="18"/>
              </w:rPr>
            </w:r>
            <w:r>
              <w:rPr>
                <w:rFonts w:ascii="Aptos" w:hAnsi="Aptos" w:eastAsia="宋体"/>
                <w:b w:val="0"/>
                <w:sz w:val="18"/>
              </w:rPr>
              <w:t>LLM闭世界假设</w:t>
            </w:r>
          </w:p>
        </w:tc>
        <w:tc>
          <w:tcPr>
            <w:tcW w:type="dxa" w:w="5783"/>
            <w:vAlign w:val="top"/>
          </w:tcPr>
          <w:p>
            <w:pPr>
              <w:spacing w:after="0"/>
            </w:pPr>
            <w:r>
              <w:rPr>
                <w:rFonts w:ascii="Aptos" w:hAnsi="Aptos" w:eastAsia="宋体"/>
                <w:sz w:val="18"/>
              </w:rPr>
            </w:r>
            <w:r>
              <w:rPr>
                <w:rFonts w:ascii="Aptos" w:hAnsi="Aptos" w:eastAsia="宋体"/>
                <w:b w:val="0"/>
                <w:sz w:val="18"/>
              </w:rPr>
              <w:t>未知、否定与语义过时的区分</w:t>
            </w:r>
          </w:p>
        </w:tc>
      </w:tr>
      <w:tr>
        <w:tc>
          <w:tcPr>
            <w:tcW w:type="dxa" w:w="3061"/>
            <w:vAlign w:val="top"/>
          </w:tcPr>
          <w:p>
            <w:pPr>
              <w:spacing w:after="0"/>
            </w:pPr>
            <w:r>
              <w:rPr>
                <w:rFonts w:ascii="Aptos" w:hAnsi="Aptos" w:eastAsia="宋体"/>
                <w:sz w:val="18"/>
              </w:rPr>
            </w:r>
            <w:r>
              <w:rPr>
                <w:rFonts w:ascii="Aptos" w:hAnsi="Aptos" w:eastAsia="宋体"/>
                <w:b w:val="0"/>
                <w:sz w:val="18"/>
              </w:rPr>
              <w:t>全局最小本体修复</w:t>
            </w:r>
          </w:p>
        </w:tc>
        <w:tc>
          <w:tcPr>
            <w:tcW w:type="dxa" w:w="5783"/>
            <w:vAlign w:val="top"/>
          </w:tcPr>
          <w:p>
            <w:pPr>
              <w:spacing w:after="0"/>
            </w:pPr>
            <w:r>
              <w:rPr>
                <w:rFonts w:ascii="Aptos" w:hAnsi="Aptos" w:eastAsia="宋体"/>
                <w:sz w:val="18"/>
              </w:rPr>
            </w:r>
            <w:r>
              <w:rPr>
                <w:rFonts w:ascii="Aptos" w:hAnsi="Aptos" w:eastAsia="宋体"/>
                <w:b w:val="0"/>
                <w:sz w:val="18"/>
              </w:rPr>
              <w:t>candidate-constrained minimal repair</w:t>
            </w:r>
          </w:p>
        </w:tc>
      </w:tr>
      <w:tr>
        <w:tc>
          <w:tcPr>
            <w:tcW w:type="dxa" w:w="3061"/>
            <w:vAlign w:val="top"/>
          </w:tcPr>
          <w:p>
            <w:pPr>
              <w:spacing w:after="0"/>
            </w:pPr>
            <w:r>
              <w:rPr>
                <w:rFonts w:ascii="Aptos" w:hAnsi="Aptos" w:eastAsia="宋体"/>
                <w:sz w:val="18"/>
              </w:rPr>
            </w:r>
            <w:r>
              <w:rPr>
                <w:rFonts w:ascii="Aptos" w:hAnsi="Aptos" w:eastAsia="宋体"/>
                <w:b w:val="0"/>
                <w:sz w:val="18"/>
              </w:rPr>
              <w:t>完全可信/Trustworthy</w:t>
            </w:r>
          </w:p>
        </w:tc>
        <w:tc>
          <w:tcPr>
            <w:tcW w:type="dxa" w:w="5783"/>
            <w:vAlign w:val="top"/>
          </w:tcPr>
          <w:p>
            <w:pPr>
              <w:spacing w:after="0"/>
            </w:pPr>
            <w:r>
              <w:rPr>
                <w:rFonts w:ascii="Aptos" w:hAnsi="Aptos" w:eastAsia="宋体"/>
                <w:sz w:val="18"/>
              </w:rPr>
            </w:r>
            <w:r>
              <w:rPr>
                <w:rFonts w:ascii="Aptos" w:hAnsi="Aptos" w:eastAsia="宋体"/>
                <w:b w:val="0"/>
                <w:sz w:val="18"/>
              </w:rPr>
              <w:t>evidence-grounded, auditable, formally verified, selective</w:t>
            </w:r>
          </w:p>
        </w:tc>
      </w:tr>
      <w:tr>
        <w:tc>
          <w:tcPr>
            <w:tcW w:type="dxa" w:w="3061"/>
            <w:vAlign w:val="top"/>
          </w:tcPr>
          <w:p>
            <w:pPr>
              <w:spacing w:after="0"/>
            </w:pPr>
            <w:r>
              <w:rPr>
                <w:rFonts w:ascii="Aptos" w:hAnsi="Aptos" w:eastAsia="宋体"/>
                <w:sz w:val="18"/>
              </w:rPr>
            </w:r>
            <w:r>
              <w:rPr>
                <w:rFonts w:ascii="Aptos" w:hAnsi="Aptos" w:eastAsia="宋体"/>
                <w:b w:val="0"/>
                <w:sz w:val="18"/>
              </w:rPr>
              <w:t>检测LLM未见过概念</w:t>
            </w:r>
          </w:p>
        </w:tc>
        <w:tc>
          <w:tcPr>
            <w:tcW w:type="dxa" w:w="5783"/>
            <w:vAlign w:val="top"/>
          </w:tcPr>
          <w:p>
            <w:pPr>
              <w:spacing w:after="0"/>
            </w:pPr>
            <w:r>
              <w:rPr>
                <w:rFonts w:ascii="Aptos" w:hAnsi="Aptos" w:eastAsia="宋体"/>
                <w:sz w:val="18"/>
              </w:rPr>
            </w:r>
            <w:r>
              <w:rPr>
                <w:rFonts w:ascii="Aptos" w:hAnsi="Aptos" w:eastAsia="宋体"/>
                <w:b w:val="0"/>
                <w:sz w:val="18"/>
              </w:rPr>
              <w:t>observable ontology novelty / unresolved IRI / schema mismatch</w:t>
            </w:r>
          </w:p>
        </w:tc>
      </w:tr>
    </w:tbl>
    <w:p/>
    <w:p>
      <w:pPr>
        <w:pStyle w:val="Heading1"/>
      </w:pPr>
      <w:r>
        <w:t>2. 冻结后的理论体系</w:t>
      </w:r>
    </w:p>
    <w:p>
      <w:r>
        <w:rPr>
          <w:rFonts w:ascii="Aptos" w:hAnsi="Aptos" w:eastAsia="宋体"/>
          <w:sz w:val="21"/>
        </w:rPr>
        <w:t>理论部分固定为“六个正式定义 + 一个操作性优化目标 + 一组版本状态不变量 + 一套证据状态语义 + 两个Γ核心Theorem + 两个辅助Proposition + 一个Lemma + 一个System Invariant”。Γ的确定性与拒绝安全性构成首要可证明结果；Candidate-Blind与选择性风险性质作为外围架构性质；有限修复存在性Lemma和历史状态Invariant不作为独立理论创新。</w:t>
      </w:r>
    </w:p>
    <w:p>
      <w:pPr>
        <w:pStyle w:val="Heading2"/>
      </w:pPr>
      <w:r>
        <w:t>2.1 Definition 1: Versioned Knowledge State</w:t>
      </w:r>
    </w:p>
    <w:p>
      <w:pPr>
        <w:pStyle w:val="EquationBlock"/>
        <w:jc w:val="center"/>
      </w:pPr>
      <w:r>
        <w:rPr>
          <w:rFonts w:ascii="Cambria Math" w:hAnsi="Cambria Math" w:eastAsia="Cambria Math"/>
          <w:sz w:val="21"/>
        </w:rPr>
        <w:t>K_t = (D_t, O_t)</w:t>
      </w:r>
    </w:p>
    <w:p>
      <w:r>
        <w:t>D_t表示时间t有效的外部规范版本，O_t表示与其对应的本体状态。</w:t>
      </w:r>
    </w:p>
    <w:p>
      <w:pPr>
        <w:pStyle w:val="EquationBlock"/>
        <w:jc w:val="center"/>
      </w:pPr>
      <w:r>
        <w:rPr>
          <w:rFonts w:ascii="Cambria Math" w:hAnsi="Cambria Math" w:eastAsia="Cambria Math"/>
          <w:sz w:val="21"/>
        </w:rPr>
        <w:t>D_{t_1} → D_{t_2} → ... → D_{t_n}</w:t>
      </w:r>
    </w:p>
    <w:p>
      <w:pPr>
        <w:pStyle w:val="EquationBlock"/>
        <w:jc w:val="center"/>
      </w:pPr>
      <w:r>
        <w:rPr>
          <w:rFonts w:ascii="Cambria Math" w:hAnsi="Cambria Math" w:eastAsia="Cambria Math"/>
          <w:sz w:val="21"/>
        </w:rPr>
        <w:t>O_{t_1} → O_{t_2} → ... → O_{t_n}</w:t>
      </w:r>
    </w:p>
    <w:p>
      <w:pPr>
        <w:pStyle w:val="Heading2"/>
      </w:pPr>
      <w:r>
        <w:t>2.2 Definition 2: Normative Semantic Drift</w:t>
      </w:r>
    </w:p>
    <w:p>
      <w:pPr>
        <w:pStyle w:val="EquationBlock"/>
        <w:jc w:val="center"/>
      </w:pPr>
      <w:r>
        <w:rPr>
          <w:rFonts w:ascii="Cambria Math" w:hAnsi="Cambria Math" w:eastAsia="Cambria Math"/>
          <w:sz w:val="21"/>
        </w:rPr>
        <w:t>V(O, D, t) ∈ {0,1}</w:t>
      </w:r>
    </w:p>
    <w:p>
      <w:r>
        <w:t>若：</w:t>
      </w:r>
    </w:p>
    <w:p>
      <w:pPr>
        <w:pStyle w:val="EquationBlock"/>
        <w:jc w:val="center"/>
      </w:pPr>
      <w:r>
        <w:rPr>
          <w:rFonts w:ascii="Cambria Math" w:hAnsi="Cambria Math" w:eastAsia="Cambria Math"/>
          <w:sz w:val="21"/>
        </w:rPr>
        <w:t>V(O_t, D_t, t) = 1</w:t>
      </w:r>
    </w:p>
    <w:p>
      <w:pPr>
        <w:pStyle w:val="EquationBlock"/>
        <w:jc w:val="center"/>
      </w:pPr>
      <w:r>
        <w:rPr>
          <w:rFonts w:ascii="Cambria Math" w:hAnsi="Cambria Math" w:eastAsia="Cambria Math"/>
          <w:sz w:val="21"/>
        </w:rPr>
        <w:t>V(O_t, D_{t+1}, t+1) = 0</w:t>
      </w:r>
    </w:p>
    <w:p>
      <w:pPr>
        <w:pStyle w:val="EquationBlock"/>
        <w:jc w:val="center"/>
      </w:pPr>
      <w:r>
        <w:rPr>
          <w:rFonts w:ascii="Cambria Math" w:hAnsi="Cambria Math" w:eastAsia="Cambria Math"/>
          <w:sz w:val="21"/>
        </w:rPr>
        <w:t>Consistent(O_t) = 1</w:t>
      </w:r>
    </w:p>
    <w:p>
      <w:r>
        <w:t>则：</w:t>
      </w:r>
    </w:p>
    <w:p>
      <w:pPr>
        <w:pStyle w:val="EquationBlock"/>
        <w:jc w:val="center"/>
      </w:pPr>
      <w:r>
        <w:rPr>
          <w:rFonts w:ascii="Cambria Math" w:hAnsi="Cambria Math" w:eastAsia="Cambria Math"/>
          <w:sz w:val="21"/>
        </w:rPr>
        <w:t>SD(O_t, D_t, D_{t+1}) = 1</w:t>
      </w:r>
    </w:p>
    <w:p>
      <w:pPr>
        <w:pStyle w:val="EquationBlock"/>
        <w:jc w:val="center"/>
      </w:pPr>
      <w:r>
        <w:rPr>
          <w:rFonts w:ascii="Cambria Math" w:hAnsi="Cambria Math" w:eastAsia="Cambria Math"/>
          <w:sz w:val="21"/>
        </w:rPr>
        <w:t>Logical Consistency ≠ Temporal-Semantic Validity</w:t>
      </w:r>
    </w:p>
    <w:p>
      <w:pPr>
        <w:pStyle w:val="Heading3"/>
      </w:pPr>
      <w:r>
        <w:rPr>
          <w:rFonts w:ascii="Aptos" w:hAnsi="Aptos" w:eastAsia="黑体"/>
          <w:b w:val="0"/>
          <w:i w:val="0"/>
          <w:sz w:val="21"/>
        </w:rPr>
        <w:t>2.2.1 Observable Semantic Drift Criterion</w:t>
      </w:r>
    </w:p>
    <w:p>
      <w:r>
        <w:rPr>
          <w:rFonts w:ascii="Aptos" w:hAnsi="Aptos" w:eastAsia="宋体"/>
          <w:b w:val="0"/>
          <w:i w:val="0"/>
          <w:sz w:val="21"/>
        </w:rPr>
        <w:t>V1.7保留基于CQ的下游观测代理，但明确其为离线benchmark判据。若旧本体O_t在逻辑上仍一致，但相对于新版本规范的gold语义，至少一个预注册能力胜任问题（CQ）的答案发生不一致，则在评测中记为可观察语义过时。该判据不进入在线漂移检测器，也不被宣称为所有semantic drift的充分必要定义。</w:t>
      </w:r>
    </w:p>
    <w:p>
      <w:pPr>
        <w:pStyle w:val="EquationBlock"/>
        <w:jc w:val="center"/>
      </w:pPr>
      <w:r>
        <w:rPr>
          <w:rFonts w:ascii="Cambria Math" w:hAnsi="Cambria Math" w:eastAsia="Cambria Math"/>
          <w:b w:val="0"/>
          <w:i w:val="0"/>
          <w:sz w:val="21"/>
        </w:rPr>
        <w:t>Consistent(O_t)=1  ∧  ∃q∈CQ : Ans(q,O_t) ≠ Gold(q,t+1)  ⇒  ObservableDrift=1</w:t>
      </w:r>
    </w:p>
    <w:p>
      <w:r>
        <w:rPr>
          <w:rFonts w:ascii="Aptos" w:hAnsi="Aptos" w:eastAsia="宋体"/>
          <w:b w:val="0"/>
          <w:i w:val="0"/>
          <w:sz w:val="21"/>
        </w:rPr>
        <w:t>因此，CQ disagreement是semantic staleness的evaluation-time observable indicator：它把“规范变化—本体过时—推理错误”连接起来，但未被CQ覆盖的语义变化仍可能存在。CQ集合、gold答案和适用时间必须在Test前冻结；部署时的Detector只能使用版本文档、有效时间、证据差异和当前本体，不得访问gold ontology或gold CQ答案。</w:t>
      </w:r>
    </w:p>
    <w:p>
      <w:pPr>
        <w:pStyle w:val="Heading2"/>
      </w:pPr>
      <w:r>
        <w:t>2.3 Definition 3: Evidence-Constrained Semantic Repair</w:t>
      </w:r>
    </w:p>
    <w:p>
      <w:pPr>
        <w:pStyle w:val="EquationBlock"/>
        <w:jc w:val="center"/>
      </w:pPr>
      <w:r>
        <w:rPr>
          <w:rFonts w:ascii="Cambria Math" w:hAnsi="Cambria Math" w:eastAsia="Cambria Math"/>
          <w:sz w:val="21"/>
        </w:rPr>
        <w:t>ΔO_t* = argmin_{ΔO ∈ F_t^op} Cost(ΔO)</w:t>
      </w:r>
    </w:p>
    <w:p>
      <w:r>
        <w:t>约束条件：</w:t>
      </w:r>
    </w:p>
    <w:p>
      <w:pPr>
        <w:pStyle w:val="EquationBlock"/>
        <w:jc w:val="center"/>
      </w:pPr>
      <w:r>
        <w:rPr>
          <w:rFonts w:ascii="Cambria Math" w:hAnsi="Cambria Math" w:eastAsia="Cambria Math"/>
          <w:sz w:val="21"/>
        </w:rPr>
        <w:t>EvidenceSupported(ΔO, E_{t→t+1}) = 1</w:t>
      </w:r>
    </w:p>
    <w:p>
      <w:pPr>
        <w:pStyle w:val="EquationBlock"/>
        <w:jc w:val="center"/>
      </w:pPr>
      <w:r>
        <w:rPr>
          <w:rFonts w:ascii="Cambria Math" w:hAnsi="Cambria Math" w:eastAsia="Cambria Math"/>
          <w:sz w:val="21"/>
        </w:rPr>
        <w:t>PolicyInvariantPass(O_t ⊕ ΔO, E_{t→t+1}) = 1</w:t>
      </w:r>
    </w:p>
    <w:p>
      <w:pPr>
        <w:pStyle w:val="EquationBlock"/>
        <w:jc w:val="center"/>
      </w:pPr>
      <w:r>
        <w:rPr>
          <w:rFonts w:ascii="Cambria Math" w:hAnsi="Cambria Math" w:eastAsia="Cambria Math"/>
          <w:sz w:val="21"/>
        </w:rPr>
        <w:t>Consistent(O_t ⊕ ΔO) = 1</w:t>
      </w:r>
    </w:p>
    <w:p>
      <w:pPr>
        <w:pStyle w:val="EquationBlock"/>
        <w:jc w:val="center"/>
      </w:pPr>
      <w:r>
        <w:rPr>
          <w:rFonts w:ascii="Cambria Math" w:hAnsi="Cambria Math" w:eastAsia="Cambria Math"/>
          <w:sz w:val="21"/>
        </w:rPr>
        <w:t>ExecutableCQPass(O_t ⊕ ΔO, CQ_pre) = 1</w:t>
      </w:r>
    </w:p>
    <w:p>
      <w:r>
        <w:t>R_t明确为有限修复空间。F_t^op仅由系统在任务时可获得的证据、预注册政策不变量、逻辑一致性与可执行CQ约束构成，因此不声称整个OWL搜索空间上的全局最优，也不使用gold target决定在线输出。</w:t>
      </w:r>
    </w:p>
    <w:p>
      <w:pPr>
        <w:pStyle w:val="EquationBlock"/>
      </w:pPr>
      <w:r>
        <w:t>F_t^op = {ΔO ∈ R_t : EvidenceSupported ∧ PolicyInvariantPass ∧ Consistent ∧ ExecutableCQPass}</w:t>
      </w:r>
    </w:p>
    <w:p>
      <w:pPr>
        <w:pStyle w:val="EquationBlock"/>
      </w:pPr>
      <w:r>
        <w:t>Correct_eval(ΔO) = PatchEquivalent(ΔO, ΔO_gold) ∧ CQ_eval(O_t ⊕ ΔO, GoldCQ)</w:t>
      </w:r>
    </w:p>
    <w:p>
      <w:pPr>
        <w:pStyle w:val="SmallNote"/>
      </w:pPr>
      <w:r>
        <w:t>Operational/Evaluation Separation：F_t^op用于算法决策；Correct_eval仅用于盲测评估。任何gold repair、gold ontology或gold CQ答案不得进入Retriever、N_sem、G_cand、S_dec或Verifier的任务时输入。</w:t>
      </w:r>
    </w:p>
    <w:p>
      <w:pPr>
        <w:pStyle w:val="Heading2"/>
      </w:pPr>
      <w:r>
        <w:t>2.4 Minimal Change Cost</w:t>
      </w:r>
    </w:p>
    <w:p>
      <w:pPr>
        <w:pStyle w:val="EquationBlock"/>
        <w:jc w:val="center"/>
      </w:pPr>
      <w:r>
        <w:rPr>
          <w:rFonts w:ascii="Cambria Math" w:hAnsi="Cambria Math" w:eastAsia="Cambria Math"/>
          <w:sz w:val="21"/>
        </w:rPr>
        <w:t>Cost(ΔO) = λ1·N_add^norm + λ2·N_delete^norm + λ3·N_affected^norm + λ4·Impact_unaffectedCQ</w:t>
      </w:r>
    </w:p>
    <w:p>
      <w:r>
        <w:t>证据支持、政策不变量、形式有效性和预注册CQ约束均为硬条件；Cost只在F_t^op内部作为选择最小副作用修复的tie-breaker。N_add/N_delete/N_affected按本体规模归一化，Impact_unaffectedCQ只惩罚对非目标CQ的意外影响，不惩罚必要的CQ恢复。λ权重仅在Dev上确定，并报告敏感性分析或Pareto稳定性。</w:t>
      </w:r>
    </w:p>
    <w:p>
      <w:pPr>
        <w:pStyle w:val="Heading2"/>
      </w:pPr>
      <w:r>
        <w:t>2.5 Definition 4: Candidate-Isolated Semantic Grounding</w:t>
      </w:r>
    </w:p>
    <w:p>
      <w:pPr>
        <w:pStyle w:val="EquationBlock"/>
        <w:jc w:val="center"/>
      </w:pPr>
      <w:r>
        <w:rPr>
          <w:rFonts w:ascii="Cambria Math" w:hAnsi="Cambria Math" w:eastAsia="Cambria Math"/>
          <w:sz w:val="21"/>
        </w:rPr>
        <w:t>N_sem : E → Z</w:t>
      </w:r>
    </w:p>
    <w:p>
      <w:pPr>
        <w:pStyle w:val="EquationBlock"/>
        <w:jc w:val="center"/>
      </w:pPr>
      <w:r>
        <w:rPr>
          <w:rFonts w:ascii="Cambria Math" w:hAnsi="Cambria Math" w:eastAsia="Cambria Math"/>
          <w:sz w:val="21"/>
        </w:rPr>
        <w:t>C ∉ Input(N_sem)</w:t>
      </w:r>
    </w:p>
    <w:p>
      <w:r>
        <w:t>候选值、候选ID、候选顺序等不能进入神经语义阶段，避免candidate leakage、position bias和answer-conditioned interpretation。</w:t>
      </w:r>
    </w:p>
    <w:p>
      <w:pPr>
        <w:pStyle w:val="Heading3"/>
      </w:pPr>
      <w:r>
        <w:t>2.5.1 Candidate-Independent Evidence Acquisition</w:t>
      </w:r>
    </w:p>
    <w:p>
      <w:pPr>
        <w:pStyle w:val="EquationBlock"/>
      </w:pPr>
      <w:r>
        <w:t>E_{t→t+1} = Retrieve(D_t, D_{t+1}, O_t);    C ∉ Input(Retrieve)</w:t>
      </w:r>
    </w:p>
    <w:p>
      <w:pPr/>
      <w:r>
        <w:t>候选值、候选描述、候选ID和候选顺序不仅不得进入N_sem，也不得用于选择证据窗口、构造检索查询或触发候选条件化重试。若实验Track直接提供gold evidence，必须与真实检索Track分开报告。</w:t>
      </w:r>
    </w:p>
    <w:p>
      <w:pPr>
        <w:pStyle w:val="Heading3"/>
      </w:pPr>
      <w:r>
        <w:rPr>
          <w:rFonts w:ascii="Aptos" w:hAnsi="Aptos" w:eastAsia="黑体"/>
          <w:b w:val="0"/>
          <w:i w:val="0"/>
          <w:sz w:val="21"/>
        </w:rPr>
        <w:t>2.5.2 Candidate-Blind Task-Time Non-Interference</w:t>
      </w:r>
    </w:p>
    <w:p>
      <w:r>
        <w:rPr>
          <w:rFonts w:ascii="Aptos" w:hAnsi="Aptos" w:eastAsia="宋体"/>
          <w:b w:val="0"/>
          <w:i w:val="0"/>
          <w:sz w:val="21"/>
        </w:rPr>
        <w:t>Candidate Isolation在V1.7中被形式化为任务时非干扰性质：在证据E、模型配置θ和解码随机性u固定时，对候选集合C执行顺序置换、扩池、ID重命名或干扰项替换，不应改变Semantic IR Z。该性质限定task-time information flow，不声称消除LLM预训练先验。</w:t>
      </w:r>
    </w:p>
    <w:p>
      <w:pPr>
        <w:pStyle w:val="EquationBlock"/>
        <w:jc w:val="center"/>
      </w:pPr>
      <w:r>
        <w:rPr>
          <w:rFonts w:ascii="Cambria Math" w:hAnsi="Cambria Math" w:eastAsia="Cambria Math"/>
          <w:b w:val="0"/>
          <w:i w:val="0"/>
          <w:sz w:val="21"/>
        </w:rPr>
        <w:t>Z(E, θ, u; do(C=c₁)) = Z(E, θ, u; do(C=c₂))</w:t>
      </w:r>
    </w:p>
    <w:p>
      <w:pPr>
        <w:pStyle w:val="EquationBlock"/>
        <w:jc w:val="center"/>
      </w:pPr>
      <w:r>
        <w:rPr>
          <w:rFonts w:ascii="Cambria Math" w:hAnsi="Cambria Math" w:eastAsia="Cambria Math"/>
          <w:b w:val="0"/>
          <w:i w:val="0"/>
          <w:sz w:val="21"/>
        </w:rPr>
        <w:t>P(Z=z | E, do(C=c₁), θ) = P(Z=z | E, do(C=c₂), θ)</w:t>
      </w:r>
    </w:p>
    <w:p>
      <w:r>
        <w:rPr>
          <w:rFonts w:ascii="Aptos" w:hAnsi="Aptos" w:eastAsia="宋体"/>
          <w:b w:val="0"/>
          <w:i w:val="0"/>
          <w:sz w:val="21"/>
        </w:rPr>
        <w:t>确定性解码或固定随机性时检验逐字段输出不变性；随机解码时比较IR字段分布、结构一致率和扰动距离。有限扰动实验只能审计实现是否近似满足非干扰性，不能证明模型从未接触候选知识。</w:t>
      </w:r>
    </w:p>
    <w:p>
      <w:pPr>
        <w:pStyle w:val="Heading2"/>
      </w:pPr>
      <w:r>
        <w:t>2.6 Definition 5: Selective Repair Decision</w:t>
      </w:r>
    </w:p>
    <w:p>
      <w:pPr>
        <w:pStyle w:val="EquationBlock"/>
        <w:jc w:val="center"/>
      </w:pPr>
      <w:r>
        <w:rPr>
          <w:rFonts w:ascii="Cambria Math" w:hAnsi="Cambria Math" w:eastAsia="Cambria Math"/>
          <w:sz w:val="21"/>
        </w:rPr>
        <w:t>S_dec : Z × R_t → R_t ∪ {NO_CHANGE, ABSTAIN}</w:t>
      </w:r>
    </w:p>
    <w:p>
      <w:pPr>
        <w:pStyle w:val="EquationBlock"/>
        <w:jc w:val="center"/>
      </w:pPr>
      <w:r>
        <w:rPr>
          <w:rFonts w:ascii="Cambria Math" w:hAnsi="Cambria Math" w:eastAsia="Cambria Math"/>
          <w:sz w:val="21"/>
        </w:rPr>
        <w:t>EvidenceStatus ∈ {SUPPORTED, CONTRADICTED, UNDETERMINED}</w:t>
      </w:r>
    </w:p>
    <w:p>
      <w:r>
        <w:t>UNDETERMINED不是False。若存在充分证据表明新旧规范未产生可修复语义变化，则输出NO_CHANGE；若证据不足、冲突、实体无法解析、候选空间不含可行修复或风险过高，则输出ABSTAIN。NO_CHANGE表示确定的不修复决策，ABSTAIN表示无法安全决策，二者在日志与指标中严格分离。</w:t>
      </w:r>
    </w:p>
    <w:p>
      <w:pPr>
        <w:pStyle w:val="Heading3"/>
      </w:pPr>
      <w:r>
        <w:t>2.6.1 Candidate Repair Space and Decision Decomposition</w:t>
      </w:r>
    </w:p>
    <w:p>
      <w:pPr>
        <w:pStyle w:val="EquationBlock"/>
      </w:pPr>
      <w:r>
        <w:t>G_cand(O_t, Z, Schema) → R_t,    |R_t| &lt; ∞</w:t>
      </w:r>
    </w:p>
    <w:p>
      <w:pPr>
        <w:pStyle w:val="EquationBlock"/>
      </w:pPr>
      <w:r>
        <w:t>CandidateRecall = I[ΔO_gold ∈ R_t];    ConditionalRepairAcc = Acc | CandidateRecall=1</w:t>
      </w:r>
    </w:p>
    <w:p>
      <w:pPr/>
      <w:r>
        <w:t>候选生成策略在Test前冻结，并分别报告Evidence Recall、Candidate Recall/Gold-in-Candidate Rate、给定gold在候选空间内的条件修复准确率以及完整端到端准确率，避免把人工提供候选的上界结果误写成端到端能力。</w:t>
      </w:r>
    </w:p>
    <w:p>
      <w:pPr>
        <w:pStyle w:val="Heading2"/>
      </w:pPr>
      <w:r>
        <w:t>2.7 Definition 6: Verified Ontology Transition</w:t>
      </w:r>
    </w:p>
    <w:p>
      <w:pPr>
        <w:pStyle w:val="EquationBlock"/>
        <w:jc w:val="center"/>
      </w:pPr>
      <w:r>
        <w:rPr>
          <w:rFonts w:ascii="Cambria Math" w:hAnsi="Cambria Math" w:eastAsia="Cambria Math"/>
          <w:sz w:val="21"/>
        </w:rPr>
        <w:t>O_{t+1} = O_t ⊕ ΔO_t*</w:t>
      </w:r>
    </w:p>
    <w:p>
      <w:pPr>
        <w:ind w:left="340" w:hanging="170"/>
      </w:pPr>
      <w:r>
        <w:t xml:space="preserve">• </w:t>
      </w:r>
      <w:r>
        <w:t>逻辑一致性检查</w:t>
      </w:r>
    </w:p>
    <w:p>
      <w:pPr>
        <w:ind w:left="340" w:hanging="170"/>
      </w:pPr>
      <w:r>
        <w:t xml:space="preserve">• </w:t>
      </w:r>
      <w:r>
        <w:t>图/公理增量检查</w:t>
      </w:r>
    </w:p>
    <w:p>
      <w:pPr>
        <w:ind w:left="340" w:hanging="170"/>
      </w:pPr>
      <w:r>
        <w:t xml:space="preserve">• </w:t>
      </w:r>
      <w:r>
        <w:t>受影响推理域检查</w:t>
      </w:r>
    </w:p>
    <w:p>
      <w:pPr>
        <w:ind w:left="340" w:hanging="170"/>
      </w:pPr>
      <w:r>
        <w:t xml:space="preserve">• </w:t>
      </w:r>
      <w:r>
        <w:t>CQ回归检查</w:t>
      </w:r>
    </w:p>
    <w:p>
      <w:pPr>
        <w:ind w:left="340" w:hanging="170"/>
      </w:pPr>
      <w:r>
        <w:t xml:space="preserve">• </w:t>
      </w:r>
      <w:r>
        <w:t>历史版本查询保留检查</w:t>
      </w:r>
    </w:p>
    <w:p>
      <w:pPr>
        <w:pStyle w:val="Heading2"/>
      </w:pPr>
      <w:r>
        <w:t>2.8 版本状态操作不变量</w:t>
      </w:r>
    </w:p>
    <w:p>
      <w:r>
        <w:t>V1.7不再使用未进入算法或验证器的装饰性LTL公式，改用可直接实现和测试的版本状态不变量。</w:t>
      </w:r>
    </w:p>
    <w:p>
      <w:pPr>
        <w:pStyle w:val="EquationBlock"/>
        <w:jc w:val="center"/>
      </w:pPr>
      <w:r>
        <w:rPr>
          <w:rFonts w:ascii="Cambria Math" w:hAnsi="Cambria Math" w:eastAsia="Cambria Math"/>
          <w:sz w:val="21"/>
        </w:rPr>
        <w:t>ActiveOntology(τ) = O_{max{i : EffectiveFrom(D_i) ≤ τ &lt; EffectiveTo(D_i)}}</w:t>
      </w:r>
    </w:p>
    <w:p>
      <w:pPr>
        <w:pStyle w:val="EquationBlock"/>
        <w:jc w:val="center"/>
      </w:pPr>
      <w:r>
        <w:rPr>
          <w:rFonts w:ascii="Cambria Math" w:hAnsi="Cambria Math" w:eastAsia="Cambria Math"/>
          <w:sz w:val="21"/>
        </w:rPr>
        <w:t>Input_{i→i+1} ∩ {D_j : j &gt; i+1} = ∅</w:t>
      </w:r>
    </w:p>
    <w:p>
      <w:pPr>
        <w:pStyle w:val="EquationBlock"/>
      </w:pPr>
      <w:r>
        <w:t>Append(O_{t_i} → O_{t_{i+1}}) leaves O_{t_j} immutable,  ∀j ≤ i</w:t>
      </w:r>
    </w:p>
    <w:p>
      <w:pPr/>
      <w:r>
        <w:t>三项不变量分别约束查询时版本选择、纵向实验中的未来证据隔离和历史状态的追加式保存；它们必须由版本路由、数据隔离审计与HQP实验验证。</w:t>
      </w:r>
    </w:p>
    <w:p>
      <w:pPr>
        <w:pStyle w:val="Heading2"/>
      </w:pPr>
      <w:r>
        <w:t>2.9 Deterministic Normative-to-OWL Compiler Γ</w:t>
      </w:r>
    </w:p>
    <w:p>
      <w:pPr>
        <w:pStyle w:val="EquationBlock"/>
      </w:pPr>
      <w:r>
        <w:t>Γ : L_Γ × O_v → ⟨status, A⁺, A⁻⟩</w:t>
      </w:r>
    </w:p>
    <w:p>
      <w:pPr/>
      <w:r>
        <w:t>L_Γ是经过Schema验证、规范消解和IRI解析的有限Repair IR片段；O_v是由版本哈希固定的输入本体。status∈{COMPILED, UNSUPPORTED, INVALID_IR, PRECONDITION_FAILED}。NO_CHANGE与ABSTAIN属于上游决策状态，不作为OWL构造进入Γ。</w:t>
      </w:r>
    </w:p>
    <w:p>
      <w:pPr>
        <w:pStyle w:val="Heading3"/>
      </w:pPr>
      <w:r>
        <w:t>Supported-Fragment Freeze</w:t>
      </w:r>
    </w:p>
    <w:p>
      <w:pPr/>
      <w:r>
        <w:t>第一阶段不预设通用编译能力，而是审计RFC 213的Gold Repair操作分布，从ADD_AXIOM、REMOVE_AXIOM、REPLACE_AXIOM、UPDATE_LITERAL、UPDATE_RESTRICTION等候选中冻结覆盖率最高的3–5种构造。选择依据、未覆盖事件和Construct Coverage必须完整报告；Test后不得根据系统成败改变支持集合。</w:t>
      </w:r>
    </w:p>
    <w:p>
      <w:pPr>
        <w:pStyle w:val="Heading3"/>
      </w:pPr>
      <w:r>
        <w:t>Theorem 1 — Deterministic Compilation</w:t>
      </w:r>
    </w:p>
    <w:p>
      <w:pPr>
        <w:pStyle w:val="EquationBlock"/>
      </w:pPr>
      <w:r>
        <w:t>Canonical(h₁)=Canonical(h₂) ∧ Hash(O₁)=Hash(O₂) ⇒ Γ(h₁,O₁)=Γ(h₂,O₂)</w:t>
      </w:r>
    </w:p>
    <w:p>
      <w:pPr/>
      <w:r>
        <w:t>若IR规范化、目标定位、构造分派、OWL AST生成与序列化排序均为确定性单值函数，且Γ内部不存在LLM、网络检索、随机采样与隐式状态，则相同Canonical IR和相同本体版本产生唯一且完全相同的编译结果。</w:t>
      </w:r>
    </w:p>
    <w:p>
      <w:pPr>
        <w:pStyle w:val="Heading3"/>
      </w:pPr>
      <w:r>
        <w:t>Theorem 2 — Failure-Atomic Rejection Safety</w:t>
      </w:r>
    </w:p>
    <w:p>
      <w:pPr>
        <w:pStyle w:val="EquationBlock"/>
      </w:pPr>
      <w:r>
        <w:t>status ≠ COMPILED ⇒ A⁺=A⁻=∅ ∧ O_after=O_before</w:t>
      </w:r>
    </w:p>
    <w:p>
      <w:pPr/>
      <w:r>
        <w:t>若IR不合法、构造不受支持、目标公理不存在或不唯一、本体哈希不匹配、数据类型不兼容或其他前置条件失败，Γ必须在任何写操作之前返回拒绝状态；不得生成部分补丁、不得回退到自由生成、不得改变本体。</w:t>
      </w:r>
    </w:p>
    <w:p>
      <w:pPr>
        <w:pStyle w:val="SmallNote"/>
      </w:pPr>
      <w:r>
        <w:t>Claim Boundary：V1.7首先证明编译过程的确定性和拒绝安全性，并以Gold IR测试建立实现符合性；在尚未为全部IR构造给出指称语义之前，不宣称任意自然语言规范到OWL的无条件端到端语义可靠性。</w:t>
      </w:r>
    </w:p>
    <w:p>
      <w:pPr>
        <w:pStyle w:val="Heading2"/>
      </w:pPr>
      <w:r>
        <w:rPr>
          <w:rFonts w:ascii="Aptos" w:hAnsi="Aptos" w:eastAsia="黑体"/>
          <w:b w:val="0"/>
          <w:i w:val="0"/>
          <w:sz w:val="21"/>
        </w:rPr>
        <w:t>2.10 辅助形式性质：Propositions、Lemma与System Invariant</w:t>
      </w:r>
    </w:p>
    <w:p>
      <w:r>
        <w:rPr>
          <w:rFonts w:ascii="Aptos" w:hAnsi="Aptos" w:eastAsia="宋体"/>
          <w:b w:val="0"/>
          <w:i w:val="0"/>
          <w:sz w:val="21"/>
        </w:rPr>
        <w:t>以下内容是围绕Γ展开的辅助性质。Proposition给出候选信息流与选择性决策的条件性质，Lemma记录有限优化的存在性，System Invariant记录版本存储与查询机制必须满足的实现约束；它们不替代2.9中的Γ核心Theorem。</w:t>
      </w:r>
    </w:p>
    <w:p>
      <w:pPr>
        <w:pStyle w:val="Heading3"/>
      </w:pPr>
      <w:r>
        <w:rPr>
          <w:rFonts w:ascii="Aptos" w:hAnsi="Aptos" w:eastAsia="黑体"/>
          <w:b/>
        </w:rPr>
        <w:t>Proposition 1 — Candidate-Blind Task-Time Non-Interference</w:t>
      </w:r>
    </w:p>
    <w:p>
      <w:r>
        <w:rPr>
          <w:rFonts w:ascii="Aptos" w:hAnsi="Aptos" w:eastAsia="宋体"/>
          <w:sz w:val="21"/>
        </w:rPr>
        <w:t>若Retriever与N_sem的任务时输入接口严格排除候选集合C，证据E不由C条件化产生，且缓存、隐藏状态、外部工具、重试与日志均不存在候选信息旁路，则在给定E、固定模型配置θ与随机性u时，N_sem对C满足程序非干扰。随机解码时，相应分布在候选干预下保持不变。</w:t>
      </w:r>
    </w:p>
    <w:p>
      <w:pPr>
        <w:pStyle w:val="EquationBlock"/>
        <w:jc w:val="center"/>
      </w:pPr>
      <w:r>
        <w:rPr>
          <w:rFonts w:ascii="Cambria Math" w:hAnsi="Cambria Math" w:eastAsia="Cambria Math"/>
          <w:sz w:val="21"/>
        </w:rPr>
        <w:t>P(Z=z | E, do(C=c₁), θ) = P(Z=z | E, do(C=c₂), θ)</w:t>
      </w:r>
    </w:p>
    <w:p>
      <w:r>
        <w:rPr>
          <w:rFonts w:ascii="Aptos" w:hAnsi="Aptos" w:eastAsia="宋体"/>
          <w:sz w:val="21"/>
        </w:rPr>
        <w:t>这是任务时信息流性质，而非“模型从未见过候选知识”的声明。实现层必须通过candidate order permutation、candidate pool enlargement、candidate-ID renaming、distractor replacement及IR-level stability metrics审计近似非干扰性。</w:t>
      </w:r>
    </w:p>
    <w:p>
      <w:pPr>
        <w:pStyle w:val="Heading3"/>
      </w:pPr>
      <w:r>
        <w:rPr>
          <w:rFonts w:ascii="Aptos" w:hAnsi="Aptos" w:eastAsia="黑体"/>
          <w:b w:val="0"/>
          <w:i w:val="0"/>
          <w:sz w:val="21"/>
        </w:rPr>
        <w:t>Lemma 1 — Existence of a Minimal Operationally Feasible Repair</w:t>
      </w:r>
    </w:p>
    <w:p>
      <w:r>
        <w:rPr>
          <w:rFonts w:ascii="Aptos" w:hAnsi="Aptos" w:eastAsia="宋体"/>
          <w:b w:val="0"/>
          <w:i w:val="0"/>
          <w:sz w:val="21"/>
        </w:rPr>
        <w:t>令有限操作性可行集合F_t^op由EvidenceSupported、PolicyInvariantPass、Consistent和ExecutableCQPass定义。若F_t^op非空，则其上最小代价修复存在；若F_t^op为空，系统返回ABSTAIN。该Lemma是有限优化的存在性结论，不作为独立理论贡献。</w:t>
      </w:r>
    </w:p>
    <w:p>
      <w:pPr>
        <w:pStyle w:val="EquationBlock"/>
        <w:jc w:val="center"/>
      </w:pPr>
      <w:r>
        <w:rPr>
          <w:rFonts w:ascii="Cambria Math" w:hAnsi="Cambria Math" w:eastAsia="Cambria Math"/>
          <w:b w:val="0"/>
          <w:i w:val="0"/>
          <w:sz w:val="21"/>
        </w:rPr>
        <w:t>F_t^op ≠ ∅  ⇒  ∃ ΔO_t* = argmin_{ΔO∈F_t^op} Cost(ΔO)</w:t>
      </w:r>
    </w:p>
    <w:p>
      <w:pPr>
        <w:pStyle w:val="EquationBlock"/>
        <w:jc w:val="center"/>
      </w:pPr>
      <w:r>
        <w:rPr>
          <w:rFonts w:ascii="Cambria Math" w:hAnsi="Cambria Math" w:eastAsia="Cambria Math"/>
          <w:b w:val="0"/>
          <w:i w:val="0"/>
          <w:sz w:val="21"/>
        </w:rPr>
        <w:t>F_t^op = ∅  ⇒  output = ABSTAIN</w:t>
      </w:r>
    </w:p>
    <w:p>
      <w:pPr>
        <w:pStyle w:val="Heading3"/>
      </w:pPr>
      <w:r>
        <w:rPr>
          <w:rFonts w:ascii="Aptos" w:hAnsi="Aptos" w:eastAsia="黑体"/>
          <w:b/>
        </w:rPr>
        <w:t>Proposition 2 — Conditional Selective-Risk Reduction under Certified Abstention</w:t>
      </w:r>
    </w:p>
    <w:p>
      <w:r>
        <w:rPr>
          <w:rFonts w:ascii="Aptos" w:hAnsi="Aptos" w:eastAsia="宋体"/>
          <w:sz w:val="21"/>
        </w:rPr>
        <w:t>设U为由证据冲突、UNDETERMINED、IRI解析失败、observable novelty或UNRESOLVED semantic-diff规则预先识别的高风险子集。若该子集真实错误率高于其补集，即P(Error|U)&gt;P(Error|¬U)，则对U执行abstention会降低“已回答样本”上的selective risk。该命题不把abstention视为零成本动作；人工复核、延迟和覆盖率损失必须在operational utility中单独计入。</w:t>
      </w:r>
    </w:p>
    <w:p>
      <w:pPr>
        <w:pStyle w:val="EquationBlock"/>
        <w:jc w:val="center"/>
      </w:pPr>
      <w:r>
        <w:rPr>
          <w:rFonts w:ascii="Cambria Math" w:hAnsi="Cambria Math" w:eastAsia="Cambria Math"/>
          <w:sz w:val="21"/>
        </w:rPr>
        <w:t>P(Error|U) &gt; P(Error|¬U)  ⇒  Risk_answered(abstain on U) &lt; Risk_forced</w:t>
      </w:r>
    </w:p>
    <w:p>
      <w:pPr>
        <w:pStyle w:val="Heading3"/>
      </w:pPr>
      <w:r>
        <w:rPr>
          <w:rFonts w:ascii="Aptos" w:hAnsi="Aptos" w:eastAsia="黑体"/>
          <w:b w:val="0"/>
          <w:i w:val="0"/>
          <w:sz w:val="21"/>
        </w:rPr>
        <w:t>System Invariant 1 — Historical-State Non-Interference under Version Append</w:t>
      </w:r>
    </w:p>
    <w:p>
      <w:r>
        <w:rPr>
          <w:rFonts w:ascii="Aptos" w:hAnsi="Aptos" w:eastAsia="宋体"/>
          <w:b w:val="0"/>
          <w:i w:val="0"/>
          <w:sz w:val="21"/>
        </w:rPr>
        <w:t>若版本迁移采用追加新状态而非原地覆盖历史状态，则从O_{t_i}生成O_{t_{i+1}}不会修改任何j&lt;i的历史本体O_{t_j}。因此历史查询仍由对应历史版本回答。</w:t>
      </w:r>
    </w:p>
    <w:p>
      <w:pPr>
        <w:pStyle w:val="EquationBlock"/>
        <w:jc w:val="center"/>
      </w:pPr>
      <w:r>
        <w:rPr>
          <w:rFonts w:ascii="Cambria Math" w:hAnsi="Cambria Math" w:eastAsia="Cambria Math"/>
          <w:b w:val="0"/>
          <w:i w:val="0"/>
          <w:sz w:val="21"/>
        </w:rPr>
        <w:t>Update(O_{t_i}→O_{t_{i+1}}) leaves O_{t_j} unchanged,  ∀ j&lt;i</w:t>
      </w:r>
    </w:p>
    <w:p>
      <w:r>
        <w:rPr>
          <w:rFonts w:ascii="Aptos" w:hAnsi="Aptos" w:eastAsia="宋体"/>
          <w:b w:val="0"/>
          <w:i w:val="0"/>
          <w:sz w:val="21"/>
        </w:rPr>
        <w:t>该命题支撑HQP/Historical State Preservation，但不保证不同版本对同一查询给出相同答案。</w:t>
      </w:r>
    </w:p>
    <w:p>
      <w:pPr>
        <w:pStyle w:val="Heading2"/>
      </w:pPr>
      <w:r>
        <w:rPr>
          <w:rFonts w:ascii="Aptos" w:hAnsi="Aptos" w:eastAsia="黑体"/>
          <w:b w:val="0"/>
          <w:i w:val="0"/>
          <w:sz w:val="21"/>
        </w:rPr>
        <w:t>2.11 Properties, Guarantees, and Empirical Boundaries</w:t>
      </w:r>
    </w:p>
    <w:p>
      <w:r>
        <w:rPr>
          <w:rFonts w:ascii="Aptos" w:hAnsi="Aptos" w:eastAsia="宋体"/>
          <w:b w:val="0"/>
          <w:i w:val="0"/>
          <w:sz w:val="21"/>
        </w:rPr>
        <w:t>V1.7明确区分Compiler Theorem、Architectural Proposition、Conditional Proposition、Strict Lemma、System Invariant与Empirical Observation。Γ确定性与拒绝安全性是核心定理；Candidate-Blind和选择性风险是外围条件性质；有限最优存在性与历史状态保存只作为辅助边界。Locality-based validation不被写成无条件全局一致性Theorem。</w:t>
      </w:r>
    </w:p>
    <w:p>
      <w:pPr>
        <w:pStyle w:val="SmallNote"/>
      </w:pPr>
      <w:r>
        <w:rPr>
          <w:rFonts w:ascii="Aptos" w:hAnsi="Aptos" w:eastAsia="宋体"/>
          <w:b w:val="0"/>
          <w:i/>
          <w:sz w:val="21"/>
        </w:rPr>
        <w:t>Architectural/Conditional: Candidate-Blind task-time non-interference; selective-risk reduction.</w:t>
      </w:r>
    </w:p>
    <w:p>
      <w:pPr>
        <w:pStyle w:val="SmallNote"/>
      </w:pPr>
      <w:r>
        <w:rPr>
          <w:rFonts w:ascii="Aptos" w:hAnsi="Aptos" w:eastAsia="宋体"/>
          <w:b w:val="0"/>
          <w:i/>
          <w:sz w:val="21"/>
        </w:rPr>
        <w:t>Strict Lemma: finite operationally feasible-repair existence.</w:t>
      </w:r>
    </w:p>
    <w:p>
      <w:pPr>
        <w:pStyle w:val="SmallNote"/>
      </w:pPr>
      <w:r>
        <w:rPr>
          <w:rFonts w:ascii="Aptos" w:hAnsi="Aptos" w:eastAsia="宋体"/>
          <w:b w:val="0"/>
          <w:i/>
          <w:sz w:val="21"/>
        </w:rPr>
        <w:t>System Invariant: historical-state non-interference under append-only version storage.</w:t>
        <w:br/>
        <w:t>Empirical/algorithm-dependent: locality/full agreement, semantic-diff resolution coverage, local CQ agreement, candidate IR stability.</w:t>
      </w:r>
    </w:p>
    <w:p>
      <w:pPr>
        <w:pStyle w:val="Heading1"/>
      </w:pPr>
      <w:r>
        <w:t>3. 语义漂移类型体系</w:t>
      </w:r>
    </w:p>
    <w:p>
      <w:pPr>
        <w:pStyle w:val="EquationBlock"/>
        <w:jc w:val="center"/>
      </w:pPr>
      <w:r>
        <w:rPr>
          <w:rFonts w:ascii="Cambria Math" w:hAnsi="Cambria Math" w:eastAsia="Cambria Math"/>
          <w:sz w:val="21"/>
        </w:rPr>
        <w:t>SD = {SD_T, SD_R, SD_S}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134"/>
            <w:shd w:fill="D9EAF7"/>
            <w:vAlign w:val="center"/>
          </w:tcPr>
          <w:p>
            <w:pPr>
              <w:spacing w:after="0"/>
            </w:pPr>
            <w:r>
              <w:rPr>
                <w:rFonts w:ascii="Aptos" w:hAnsi="Aptos" w:eastAsia="宋体"/>
                <w:sz w:val="18"/>
              </w:rPr>
            </w:r>
            <w:r>
              <w:rPr>
                <w:rFonts w:ascii="Aptos" w:hAnsi="Aptos" w:eastAsia="宋体"/>
                <w:b/>
                <w:sz w:val="18"/>
              </w:rPr>
              <w:t>类型</w:t>
            </w:r>
          </w:p>
        </w:tc>
        <w:tc>
          <w:tcPr>
            <w:tcW w:type="dxa" w:w="2268"/>
            <w:shd w:fill="D9EAF7"/>
            <w:vAlign w:val="center"/>
          </w:tcPr>
          <w:p>
            <w:pPr>
              <w:spacing w:after="0"/>
            </w:pPr>
            <w:r>
              <w:rPr>
                <w:rFonts w:ascii="Aptos" w:hAnsi="Aptos" w:eastAsia="宋体"/>
                <w:sz w:val="18"/>
              </w:rPr>
            </w:r>
            <w:r>
              <w:rPr>
                <w:rFonts w:ascii="Aptos" w:hAnsi="Aptos" w:eastAsia="宋体"/>
                <w:b/>
                <w:sz w:val="18"/>
              </w:rPr>
              <w:t>正式名称</w:t>
            </w:r>
          </w:p>
        </w:tc>
        <w:tc>
          <w:tcPr>
            <w:tcW w:type="dxa" w:w="2835"/>
            <w:shd w:fill="D9EAF7"/>
            <w:vAlign w:val="center"/>
          </w:tcPr>
          <w:p>
            <w:pPr>
              <w:spacing w:after="0"/>
            </w:pPr>
            <w:r>
              <w:rPr>
                <w:rFonts w:ascii="Aptos" w:hAnsi="Aptos" w:eastAsia="宋体"/>
                <w:sz w:val="18"/>
              </w:rPr>
            </w:r>
            <w:r>
              <w:rPr>
                <w:rFonts w:ascii="Aptos" w:hAnsi="Aptos" w:eastAsia="宋体"/>
                <w:b/>
                <w:sz w:val="18"/>
              </w:rPr>
              <w:t>主要语义变化</w:t>
            </w:r>
          </w:p>
        </w:tc>
        <w:tc>
          <w:tcPr>
            <w:tcW w:type="dxa" w:w="3402"/>
            <w:shd w:fill="D9EAF7"/>
            <w:vAlign w:val="center"/>
          </w:tcPr>
          <w:p>
            <w:pPr>
              <w:spacing w:after="0"/>
            </w:pPr>
            <w:r>
              <w:rPr>
                <w:rFonts w:ascii="Aptos" w:hAnsi="Aptos" w:eastAsia="宋体"/>
                <w:sz w:val="18"/>
              </w:rPr>
            </w:r>
            <w:r>
              <w:rPr>
                <w:rFonts w:ascii="Aptos" w:hAnsi="Aptos" w:eastAsia="宋体"/>
                <w:b/>
                <w:sz w:val="18"/>
              </w:rPr>
              <w:t>代表现象</w:t>
            </w:r>
          </w:p>
        </w:tc>
      </w:tr>
      <w:tr>
        <w:tc>
          <w:tcPr>
            <w:tcW w:type="dxa" w:w="1134"/>
            <w:vAlign w:val="top"/>
          </w:tcPr>
          <w:p>
            <w:pPr>
              <w:spacing w:after="0"/>
            </w:pPr>
            <w:r>
              <w:rPr>
                <w:rFonts w:ascii="Aptos" w:hAnsi="Aptos" w:eastAsia="宋体"/>
                <w:sz w:val="18"/>
              </w:rPr>
            </w:r>
            <w:r>
              <w:rPr>
                <w:rFonts w:ascii="Aptos" w:hAnsi="Aptos" w:eastAsia="宋体"/>
                <w:b w:val="0"/>
                <w:sz w:val="18"/>
              </w:rPr>
              <w:t>SD_T</w:t>
            </w:r>
          </w:p>
        </w:tc>
        <w:tc>
          <w:tcPr>
            <w:tcW w:type="dxa" w:w="2268"/>
            <w:vAlign w:val="top"/>
          </w:tcPr>
          <w:p>
            <w:pPr>
              <w:spacing w:after="0"/>
            </w:pPr>
            <w:r>
              <w:rPr>
                <w:rFonts w:ascii="Aptos" w:hAnsi="Aptos" w:eastAsia="宋体"/>
                <w:sz w:val="18"/>
              </w:rPr>
            </w:r>
            <w:r>
              <w:rPr>
                <w:rFonts w:ascii="Aptos" w:hAnsi="Aptos" w:eastAsia="宋体"/>
                <w:b w:val="0"/>
                <w:sz w:val="18"/>
              </w:rPr>
              <w:t>Temporal / Version Drift</w:t>
            </w:r>
          </w:p>
        </w:tc>
        <w:tc>
          <w:tcPr>
            <w:tcW w:type="dxa" w:w="2835"/>
            <w:vAlign w:val="top"/>
          </w:tcPr>
          <w:p>
            <w:pPr>
              <w:spacing w:after="0"/>
            </w:pPr>
            <w:r>
              <w:rPr>
                <w:rFonts w:ascii="Aptos" w:hAnsi="Aptos" w:eastAsia="宋体"/>
                <w:sz w:val="18"/>
              </w:rPr>
            </w:r>
            <w:r>
              <w:rPr>
                <w:rFonts w:ascii="Aptos" w:hAnsi="Aptos" w:eastAsia="宋体"/>
                <w:b w:val="0"/>
                <w:sz w:val="18"/>
              </w:rPr>
              <w:t>有效时间、替代关系、版本顺序</w:t>
            </w:r>
          </w:p>
        </w:tc>
        <w:tc>
          <w:tcPr>
            <w:tcW w:type="dxa" w:w="3402"/>
            <w:vAlign w:val="top"/>
          </w:tcPr>
          <w:p>
            <w:pPr>
              <w:spacing w:after="0"/>
            </w:pPr>
            <w:r>
              <w:rPr>
                <w:rFonts w:ascii="Aptos" w:hAnsi="Aptos" w:eastAsia="宋体"/>
                <w:sz w:val="18"/>
              </w:rPr>
            </w:r>
            <w:r>
              <w:rPr>
                <w:rFonts w:ascii="Aptos" w:hAnsi="Aptos" w:eastAsia="宋体"/>
                <w:b w:val="0"/>
                <w:sz w:val="18"/>
              </w:rPr>
              <w:t>旧版本仍被引用、时间锚点恢复错误</w:t>
            </w:r>
          </w:p>
        </w:tc>
      </w:tr>
      <w:tr>
        <w:tc>
          <w:tcPr>
            <w:tcW w:type="dxa" w:w="1134"/>
            <w:vAlign w:val="top"/>
          </w:tcPr>
          <w:p>
            <w:pPr>
              <w:spacing w:after="0"/>
            </w:pPr>
            <w:r>
              <w:rPr>
                <w:rFonts w:ascii="Aptos" w:hAnsi="Aptos" w:eastAsia="宋体"/>
                <w:sz w:val="18"/>
              </w:rPr>
            </w:r>
            <w:r>
              <w:rPr>
                <w:rFonts w:ascii="Aptos" w:hAnsi="Aptos" w:eastAsia="宋体"/>
                <w:b w:val="0"/>
                <w:sz w:val="18"/>
              </w:rPr>
              <w:t>SD_R</w:t>
            </w:r>
          </w:p>
        </w:tc>
        <w:tc>
          <w:tcPr>
            <w:tcW w:type="dxa" w:w="2268"/>
            <w:vAlign w:val="top"/>
          </w:tcPr>
          <w:p>
            <w:pPr>
              <w:spacing w:after="0"/>
            </w:pPr>
            <w:r>
              <w:rPr>
                <w:rFonts w:ascii="Aptos" w:hAnsi="Aptos" w:eastAsia="宋体"/>
                <w:sz w:val="18"/>
              </w:rPr>
            </w:r>
            <w:r>
              <w:rPr>
                <w:rFonts w:ascii="Aptos" w:hAnsi="Aptos" w:eastAsia="宋体"/>
                <w:b w:val="0"/>
                <w:sz w:val="18"/>
              </w:rPr>
              <w:t>Rule / Exception Drift</w:t>
            </w:r>
          </w:p>
        </w:tc>
        <w:tc>
          <w:tcPr>
            <w:tcW w:type="dxa" w:w="2835"/>
            <w:vAlign w:val="top"/>
          </w:tcPr>
          <w:p>
            <w:pPr>
              <w:spacing w:after="0"/>
            </w:pPr>
            <w:r>
              <w:rPr>
                <w:rFonts w:ascii="Aptos" w:hAnsi="Aptos" w:eastAsia="宋体"/>
                <w:sz w:val="18"/>
              </w:rPr>
            </w:r>
            <w:r>
              <w:rPr>
                <w:rFonts w:ascii="Aptos" w:hAnsi="Aptos" w:eastAsia="宋体"/>
                <w:b w:val="0"/>
                <w:sz w:val="18"/>
              </w:rPr>
              <w:t>一般规则、条件、例外、优先级、模态</w:t>
            </w:r>
          </w:p>
        </w:tc>
        <w:tc>
          <w:tcPr>
            <w:tcW w:type="dxa" w:w="3402"/>
            <w:vAlign w:val="top"/>
          </w:tcPr>
          <w:p>
            <w:pPr>
              <w:spacing w:after="0"/>
            </w:pPr>
            <w:r>
              <w:rPr>
                <w:rFonts w:ascii="Aptos" w:hAnsi="Aptos" w:eastAsia="宋体"/>
                <w:sz w:val="18"/>
              </w:rPr>
            </w:r>
            <w:r>
              <w:rPr>
                <w:rFonts w:ascii="Aptos" w:hAnsi="Aptos" w:eastAsia="宋体"/>
                <w:b w:val="0"/>
                <w:sz w:val="18"/>
              </w:rPr>
              <w:t>GENERAL_RULE_EXCEPTION、MUST→SHOULD</w:t>
            </w:r>
          </w:p>
        </w:tc>
      </w:tr>
      <w:tr>
        <w:tc>
          <w:tcPr>
            <w:tcW w:type="dxa" w:w="1134"/>
            <w:vAlign w:val="top"/>
          </w:tcPr>
          <w:p>
            <w:pPr>
              <w:spacing w:after="0"/>
            </w:pPr>
            <w:r>
              <w:rPr>
                <w:rFonts w:ascii="Aptos" w:hAnsi="Aptos" w:eastAsia="宋体"/>
                <w:sz w:val="18"/>
              </w:rPr>
            </w:r>
            <w:r>
              <w:rPr>
                <w:rFonts w:ascii="Aptos" w:hAnsi="Aptos" w:eastAsia="宋体"/>
                <w:b w:val="0"/>
                <w:sz w:val="18"/>
              </w:rPr>
              <w:t>SD_S</w:t>
            </w:r>
          </w:p>
        </w:tc>
        <w:tc>
          <w:tcPr>
            <w:tcW w:type="dxa" w:w="2268"/>
            <w:vAlign w:val="top"/>
          </w:tcPr>
          <w:p>
            <w:pPr>
              <w:spacing w:after="0"/>
            </w:pPr>
            <w:r>
              <w:rPr>
                <w:rFonts w:ascii="Aptos" w:hAnsi="Aptos" w:eastAsia="宋体"/>
                <w:sz w:val="18"/>
              </w:rPr>
            </w:r>
            <w:r>
              <w:rPr>
                <w:rFonts w:ascii="Aptos" w:hAnsi="Aptos" w:eastAsia="宋体"/>
                <w:b w:val="0"/>
                <w:sz w:val="18"/>
              </w:rPr>
              <w:t>Scope Drift</w:t>
            </w:r>
          </w:p>
        </w:tc>
        <w:tc>
          <w:tcPr>
            <w:tcW w:type="dxa" w:w="2835"/>
            <w:vAlign w:val="top"/>
          </w:tcPr>
          <w:p>
            <w:pPr>
              <w:spacing w:after="0"/>
            </w:pPr>
            <w:r>
              <w:rPr>
                <w:rFonts w:ascii="Aptos" w:hAnsi="Aptos" w:eastAsia="宋体"/>
                <w:sz w:val="18"/>
              </w:rPr>
            </w:r>
            <w:r>
              <w:rPr>
                <w:rFonts w:ascii="Aptos" w:hAnsi="Aptos" w:eastAsia="宋体"/>
                <w:b w:val="0"/>
                <w:sz w:val="18"/>
              </w:rPr>
              <w:t>适用对象、范围、跨句限定</w:t>
            </w:r>
          </w:p>
        </w:tc>
        <w:tc>
          <w:tcPr>
            <w:tcW w:type="dxa" w:w="3402"/>
            <w:vAlign w:val="top"/>
          </w:tcPr>
          <w:p>
            <w:pPr>
              <w:spacing w:after="0"/>
            </w:pPr>
            <w:r>
              <w:rPr>
                <w:rFonts w:ascii="Aptos" w:hAnsi="Aptos" w:eastAsia="宋体"/>
                <w:sz w:val="18"/>
              </w:rPr>
            </w:r>
            <w:r>
              <w:rPr>
                <w:rFonts w:ascii="Aptos" w:hAnsi="Aptos" w:eastAsia="宋体"/>
                <w:b w:val="0"/>
                <w:sz w:val="18"/>
              </w:rPr>
              <w:t>限定条件作用域扩大/缩小、跨句依赖改变</w:t>
            </w:r>
          </w:p>
        </w:tc>
      </w:tr>
    </w:tbl>
    <w:p/>
    <w:p>
      <w:r>
        <w:t>论文明确声明：这三类是代表性动态语义漂移模式，而不是对所有本体演化形式的穷尽。</w:t>
      </w:r>
    </w:p>
    <w:p>
      <w:pPr>
        <w:pStyle w:val="Heading1"/>
      </w:pPr>
      <w:r>
        <w:t>4. 最终系统架构</w:t>
      </w:r>
    </w:p>
    <w:p>
      <w:pPr>
        <w:pStyle w:val="EquationBlock"/>
        <w:jc w:val="center"/>
      </w:pPr>
      <w:r>
        <w:rPr>
          <w:rFonts w:ascii="Cambria Math" w:hAnsi="Cambria Math" w:eastAsia="Cambria Math"/>
          <w:sz w:val="21"/>
        </w:rPr>
        <w:t>D_t, D_{t+1}, O_t</w:t>
      </w:r>
    </w:p>
    <w:p>
      <w:pPr>
        <w:pStyle w:val="EquationBlock"/>
        <w:jc w:val="center"/>
      </w:pPr>
      <w:r>
        <w:rPr>
          <w:rFonts w:ascii="Cambria Math" w:hAnsi="Cambria Math" w:eastAsia="Cambria Math"/>
          <w:sz w:val="21"/>
        </w:rPr>
        <w:t>↓</w:t>
      </w:r>
    </w:p>
    <w:p>
      <w:pPr>
        <w:pStyle w:val="EquationBlock"/>
        <w:jc w:val="center"/>
      </w:pPr>
      <w:r>
        <w:rPr>
          <w:rFonts w:ascii="Cambria Math" w:hAnsi="Cambria Math" w:eastAsia="Cambria Math"/>
          <w:sz w:val="21"/>
        </w:rPr>
        <w:t>Drift Detection &amp; Localization</w:t>
      </w:r>
    </w:p>
    <w:p>
      <w:pPr>
        <w:pStyle w:val="EquationBlock"/>
        <w:jc w:val="center"/>
      </w:pPr>
      <w:r>
        <w:rPr>
          <w:rFonts w:ascii="Cambria Math" w:hAnsi="Cambria Math" w:eastAsia="Cambria Math"/>
          <w:sz w:val="21"/>
        </w:rPr>
        <w:t>↓</w:t>
      </w:r>
    </w:p>
    <w:p>
      <w:pPr>
        <w:pStyle w:val="EquationBlock"/>
        <w:jc w:val="center"/>
      </w:pPr>
      <w:r>
        <w:rPr>
          <w:rFonts w:ascii="Cambria Math" w:hAnsi="Cambria Math" w:eastAsia="Cambria Math"/>
          <w:sz w:val="21"/>
        </w:rPr>
        <w:t>E_{t→t+1}</w:t>
      </w:r>
    </w:p>
    <w:p>
      <w:pPr>
        <w:pStyle w:val="EquationBlock"/>
        <w:jc w:val="center"/>
      </w:pPr>
      <w:r>
        <w:rPr>
          <w:rFonts w:ascii="Cambria Math" w:hAnsi="Cambria Math" w:eastAsia="Cambria Math"/>
          <w:sz w:val="21"/>
        </w:rPr>
        <w:t>↓</w:t>
      </w:r>
    </w:p>
    <w:p>
      <w:pPr>
        <w:pStyle w:val="EquationBlock"/>
        <w:jc w:val="center"/>
      </w:pPr>
      <w:r>
        <w:rPr>
          <w:rFonts w:ascii="Cambria Math" w:hAnsi="Cambria Math" w:eastAsia="Cambria Math"/>
          <w:sz w:val="21"/>
        </w:rPr>
        <w:t>Candidate-Isolated Neural Semantic Grounding</w:t>
      </w:r>
    </w:p>
    <w:p>
      <w:pPr>
        <w:pStyle w:val="EquationBlock"/>
        <w:jc w:val="center"/>
      </w:pPr>
      <w:r>
        <w:rPr>
          <w:rFonts w:ascii="Cambria Math" w:hAnsi="Cambria Math" w:eastAsia="Cambria Math"/>
          <w:sz w:val="21"/>
        </w:rPr>
        <w:t>↓</w:t>
      </w:r>
    </w:p>
    <w:p>
      <w:pPr>
        <w:pStyle w:val="EquationBlock"/>
        <w:jc w:val="center"/>
      </w:pPr>
      <w:r>
        <w:rPr>
          <w:rFonts w:ascii="Cambria Math" w:hAnsi="Cambria Math" w:eastAsia="Cambria Math"/>
          <w:sz w:val="21"/>
        </w:rPr>
        <w:t>Semantic IR Z_t</w:t>
      </w:r>
    </w:p>
    <w:p>
      <w:pPr>
        <w:pStyle w:val="EquationBlock"/>
        <w:jc w:val="center"/>
      </w:pPr>
      <w:r>
        <w:rPr>
          <w:rFonts w:ascii="Cambria Math" w:hAnsi="Cambria Math" w:eastAsia="Cambria Math"/>
          <w:sz w:val="21"/>
        </w:rPr>
        <w:t>↓</w:t>
      </w:r>
    </w:p>
    <w:p>
      <w:pPr>
        <w:pStyle w:val="EquationBlock"/>
      </w:pPr>
      <w:r>
        <w:t>Candidate Repair Space R_t = G_cand(O_t, Z_t, Schema)</w:t>
      </w:r>
    </w:p>
    <w:p>
      <w:pPr>
        <w:pStyle w:val="EquationBlock"/>
      </w:pPr>
      <w:r>
        <w:t>↓</w:t>
      </w:r>
    </w:p>
    <w:p>
      <w:pPr>
        <w:pStyle w:val="EquationBlock"/>
        <w:jc w:val="center"/>
      </w:pPr>
      <w:r>
        <w:rPr>
          <w:rFonts w:ascii="Cambria Math" w:hAnsi="Cambria Math" w:eastAsia="Cambria Math"/>
          <w:sz w:val="21"/>
        </w:rPr>
        <w:t>Evidence-Aware Symbolic Decision / Constrained Revision</w:t>
      </w:r>
    </w:p>
    <w:p>
      <w:pPr>
        <w:pStyle w:val="EquationBlock"/>
        <w:jc w:val="center"/>
      </w:pPr>
      <w:r>
        <w:rPr>
          <w:rFonts w:ascii="Cambria Math" w:hAnsi="Cambria Math" w:eastAsia="Cambria Math"/>
          <w:sz w:val="21"/>
        </w:rPr>
        <w:t>↓</w:t>
      </w:r>
    </w:p>
    <w:p>
      <w:pPr>
        <w:pStyle w:val="EquationBlock"/>
        <w:jc w:val="center"/>
      </w:pPr>
      <w:r>
        <w:t>[Optional Symbolically Guided Revision, only for recoverable violations; at most 1 retry]</w:t>
      </w:r>
    </w:p>
    <w:p>
      <w:pPr>
        <w:pStyle w:val="EquationBlock"/>
        <w:jc w:val="center"/>
      </w:pPr>
      <w:r>
        <w:rPr>
          <w:rFonts w:ascii="Cambria Math" w:hAnsi="Cambria Math" w:eastAsia="Cambria Math"/>
          <w:sz w:val="21"/>
        </w:rPr>
        <w:t>↓</w:t>
      </w:r>
    </w:p>
    <w:p>
      <w:pPr>
        <w:pStyle w:val="EquationBlock"/>
      </w:pPr>
      <w:r>
        <w:t>Validated Repair IR → Deterministic OWL Compiler Γ</w:t>
      </w:r>
    </w:p>
    <w:p>
      <w:pPr>
        <w:pStyle w:val="EquationBlock"/>
      </w:pPr>
      <w:r>
        <w:t>↓</w:t>
      </w:r>
    </w:p>
    <w:p>
      <w:pPr>
        <w:pStyle w:val="EquationBlock"/>
        <w:jc w:val="center"/>
      </w:pPr>
      <w:r>
        <w:t>Axiom-Level OWL Patch ΔO_t = (A⁺, A⁻)</w:t>
      </w:r>
    </w:p>
    <w:p>
      <w:pPr>
        <w:pStyle w:val="EquationBlock"/>
        <w:jc w:val="center"/>
      </w:pPr>
      <w:r>
        <w:rPr>
          <w:rFonts w:ascii="Cambria Math" w:hAnsi="Cambria Math" w:eastAsia="Cambria Math"/>
          <w:sz w:val="21"/>
        </w:rPr>
        <w:t>↓</w:t>
      </w:r>
    </w:p>
    <w:p>
      <w:pPr>
        <w:pStyle w:val="EquationBlock"/>
        <w:jc w:val="center"/>
      </w:pPr>
      <w:r>
        <w:t>Locality-Based Incremental Formal Verification</w:t>
      </w:r>
    </w:p>
    <w:p>
      <w:pPr>
        <w:pStyle w:val="EquationBlock"/>
        <w:jc w:val="center"/>
      </w:pPr>
      <w:r>
        <w:rPr>
          <w:rFonts w:ascii="Cambria Math" w:hAnsi="Cambria Math" w:eastAsia="Cambria Math"/>
          <w:sz w:val="21"/>
        </w:rPr>
        <w:t>↓</w:t>
      </w:r>
    </w:p>
    <w:p>
      <w:pPr>
        <w:pStyle w:val="EquationBlock"/>
        <w:jc w:val="center"/>
      </w:pPr>
      <w:r>
        <w:rPr>
          <w:rFonts w:ascii="Cambria Math" w:hAnsi="Cambria Math" w:eastAsia="Cambria Math"/>
          <w:sz w:val="21"/>
        </w:rPr>
        <w:t>O_{t+1} → CQ Recovery / Version-Aware Reasoning</w:t>
      </w:r>
    </w:p>
    <w:p>
      <w:pPr>
        <w:pStyle w:val="EquationBlock"/>
        <w:jc w:val="center"/>
      </w:pPr>
      <w:r>
        <w:rPr>
          <w:rFonts w:ascii="Cambria Math" w:hAnsi="Cambria Math" w:eastAsia="Cambria Math"/>
          <w:sz w:val="21"/>
        </w:rPr>
        <w:t>↓</w:t>
      </w:r>
    </w:p>
    <w:p>
      <w:pPr>
        <w:pStyle w:val="EquationBlock"/>
        <w:jc w:val="center"/>
      </w:pPr>
      <w:r>
        <w:rPr>
          <w:rFonts w:ascii="Cambria Math" w:hAnsi="Cambria Math" w:eastAsia="Cambria Math"/>
          <w:sz w:val="21"/>
        </w:rPr>
        <w:t>Human Approval for High-Risk Deployment</w:t>
      </w:r>
    </w:p>
    <w:p>
      <w:pPr>
        <w:pStyle w:val="Heading2"/>
      </w:pPr>
      <w:r>
        <w:t>4.1 Drift Detection &amp; Localization</w:t>
      </w:r>
    </w:p>
    <w:p>
      <w:pPr>
        <w:pStyle w:val="EquationBlock"/>
        <w:jc w:val="center"/>
      </w:pPr>
      <w:r>
        <w:rPr>
          <w:rFonts w:ascii="Cambria Math" w:hAnsi="Cambria Math" w:eastAsia="Cambria Math"/>
          <w:sz w:val="21"/>
        </w:rPr>
        <w:t>Detector(D_t, D_{t+1}, O_t) → {NO_CHANGE, DriftCandidate, ABSTAIN}</w:t>
      </w:r>
    </w:p>
    <w:p>
      <w:r>
        <w:t>检测与修复分开评估，避免将检测失败与修复失败混为一谈。Detector只使用版本文档、有效时间、证据差异与当前本体；评测用gold CQ不得进入检测输入。</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814"/>
            <w:shd w:fill="D9EAF7"/>
            <w:vAlign w:val="center"/>
          </w:tcPr>
          <w:p>
            <w:pPr>
              <w:spacing w:after="0"/>
            </w:pPr>
            <w:r>
              <w:rPr>
                <w:rFonts w:ascii="Aptos" w:hAnsi="Aptos" w:eastAsia="宋体"/>
                <w:sz w:val="18"/>
              </w:rPr>
            </w:r>
            <w:r>
              <w:rPr>
                <w:rFonts w:ascii="Aptos" w:hAnsi="Aptos" w:eastAsia="宋体"/>
                <w:b/>
                <w:sz w:val="18"/>
              </w:rPr>
              <w:t>任务</w:t>
            </w:r>
          </w:p>
        </w:tc>
        <w:tc>
          <w:tcPr>
            <w:tcW w:type="dxa" w:w="2494"/>
            <w:shd w:fill="D9EAF7"/>
            <w:vAlign w:val="center"/>
          </w:tcPr>
          <w:p>
            <w:pPr>
              <w:spacing w:after="0"/>
            </w:pPr>
            <w:r>
              <w:rPr>
                <w:rFonts w:ascii="Aptos" w:hAnsi="Aptos" w:eastAsia="宋体"/>
                <w:sz w:val="18"/>
              </w:rPr>
            </w:r>
            <w:r>
              <w:rPr>
                <w:rFonts w:ascii="Aptos" w:hAnsi="Aptos" w:eastAsia="宋体"/>
                <w:b/>
                <w:sz w:val="18"/>
              </w:rPr>
              <w:t>输入</w:t>
            </w:r>
          </w:p>
        </w:tc>
        <w:tc>
          <w:tcPr>
            <w:tcW w:type="dxa" w:w="2835"/>
            <w:shd w:fill="D9EAF7"/>
            <w:vAlign w:val="center"/>
          </w:tcPr>
          <w:p>
            <w:pPr>
              <w:spacing w:after="0"/>
            </w:pPr>
            <w:r>
              <w:rPr>
                <w:rFonts w:ascii="Aptos" w:hAnsi="Aptos" w:eastAsia="宋体"/>
                <w:sz w:val="18"/>
              </w:rPr>
            </w:r>
            <w:r>
              <w:rPr>
                <w:rFonts w:ascii="Aptos" w:hAnsi="Aptos" w:eastAsia="宋体"/>
                <w:b/>
                <w:sz w:val="18"/>
              </w:rPr>
              <w:t>输出</w:t>
            </w:r>
          </w:p>
        </w:tc>
        <w:tc>
          <w:tcPr>
            <w:tcW w:type="dxa" w:w="2948"/>
            <w:shd w:fill="D9EAF7"/>
            <w:vAlign w:val="center"/>
          </w:tcPr>
          <w:p>
            <w:pPr>
              <w:spacing w:after="0"/>
            </w:pPr>
            <w:r>
              <w:rPr>
                <w:rFonts w:ascii="Aptos" w:hAnsi="Aptos" w:eastAsia="宋体"/>
                <w:sz w:val="18"/>
              </w:rPr>
            </w:r>
            <w:r>
              <w:rPr>
                <w:rFonts w:ascii="Aptos" w:hAnsi="Aptos" w:eastAsia="宋体"/>
                <w:b/>
                <w:sz w:val="18"/>
              </w:rPr>
              <w:t>主要指标</w:t>
            </w:r>
          </w:p>
        </w:tc>
      </w:tr>
      <w:tr>
        <w:tc>
          <w:tcPr>
            <w:tcW w:type="dxa" w:w="1814"/>
            <w:vAlign w:val="top"/>
          </w:tcPr>
          <w:p>
            <w:pPr>
              <w:spacing w:after="0"/>
            </w:pPr>
            <w:r>
              <w:rPr>
                <w:rFonts w:ascii="Aptos" w:hAnsi="Aptos" w:eastAsia="宋体"/>
                <w:sz w:val="18"/>
              </w:rPr>
            </w:r>
            <w:r>
              <w:rPr>
                <w:rFonts w:ascii="Aptos" w:hAnsi="Aptos" w:eastAsia="宋体"/>
                <w:b w:val="0"/>
                <w:sz w:val="18"/>
              </w:rPr>
              <w:t>Task A: Detection</w:t>
            </w:r>
          </w:p>
        </w:tc>
        <w:tc>
          <w:tcPr>
            <w:tcW w:type="dxa" w:w="2494"/>
            <w:vAlign w:val="top"/>
          </w:tcPr>
          <w:p>
            <w:pPr>
              <w:spacing w:after="0"/>
            </w:pPr>
            <w:r>
              <w:rPr>
                <w:rFonts w:ascii="Aptos" w:hAnsi="Aptos" w:eastAsia="宋体"/>
                <w:sz w:val="18"/>
              </w:rPr>
            </w:r>
            <w:r>
              <w:rPr>
                <w:rFonts w:ascii="Aptos" w:hAnsi="Aptos" w:eastAsia="宋体"/>
                <w:b w:val="0"/>
                <w:sz w:val="18"/>
              </w:rPr>
              <w:t>D_t, D_{t+1}, O_t</w:t>
            </w:r>
          </w:p>
        </w:tc>
        <w:tc>
          <w:tcPr>
            <w:tcW w:type="dxa" w:w="2835"/>
            <w:vAlign w:val="center"/>
          </w:tcPr>
          <w:p>
            <w:pPr>
              <w:spacing w:after="0"/>
            </w:pPr>
            <w:r>
              <w:rPr>
                <w:rFonts w:ascii="Aptos" w:hAnsi="Aptos" w:eastAsia="宋体"/>
                <w:sz w:val="18"/>
              </w:rPr>
              <w:t>NO_CHANGE / Drift + affected span / ABSTAIN</w:t>
            </w:r>
          </w:p>
        </w:tc>
        <w:tc>
          <w:tcPr>
            <w:tcW w:type="dxa" w:w="2948"/>
            <w:vAlign w:val="top"/>
          </w:tcPr>
          <w:p>
            <w:pPr>
              <w:spacing w:after="0"/>
            </w:pPr>
            <w:r>
              <w:rPr>
                <w:rFonts w:ascii="Aptos" w:hAnsi="Aptos" w:eastAsia="宋体"/>
                <w:sz w:val="18"/>
              </w:rPr>
            </w:r>
            <w:r>
              <w:rPr>
                <w:rFonts w:ascii="Aptos" w:hAnsi="Aptos" w:eastAsia="宋体"/>
                <w:b w:val="0"/>
                <w:sz w:val="18"/>
              </w:rPr>
              <w:t>Precision, Recall, F1, FPR, localization accuracy</w:t>
            </w:r>
          </w:p>
        </w:tc>
      </w:tr>
      <w:tr>
        <w:tc>
          <w:tcPr>
            <w:tcW w:type="dxa" w:w="1814"/>
            <w:vAlign w:val="top"/>
          </w:tcPr>
          <w:p>
            <w:pPr>
              <w:spacing w:after="0"/>
            </w:pPr>
            <w:r>
              <w:rPr>
                <w:rFonts w:ascii="Aptos" w:hAnsi="Aptos" w:eastAsia="宋体"/>
                <w:sz w:val="18"/>
              </w:rPr>
            </w:r>
            <w:r>
              <w:rPr>
                <w:rFonts w:ascii="Aptos" w:hAnsi="Aptos" w:eastAsia="宋体"/>
                <w:b w:val="0"/>
                <w:sz w:val="18"/>
              </w:rPr>
              <w:t>Task B: Repair</w:t>
            </w:r>
          </w:p>
        </w:tc>
        <w:tc>
          <w:tcPr>
            <w:tcW w:type="dxa" w:w="2494"/>
            <w:vAlign w:val="center"/>
          </w:tcPr>
          <w:p>
            <w:pPr>
              <w:spacing w:after="0"/>
            </w:pPr>
            <w:r>
              <w:rPr>
                <w:rFonts w:ascii="Aptos" w:hAnsi="Aptos" w:eastAsia="宋体"/>
                <w:sz w:val="18"/>
              </w:rPr>
              <w:t>Retrieved或oracle evidence + O_t</w:t>
            </w:r>
          </w:p>
        </w:tc>
        <w:tc>
          <w:tcPr>
            <w:tcW w:type="dxa" w:w="2835"/>
            <w:vAlign w:val="center"/>
          </w:tcPr>
          <w:p>
            <w:pPr>
              <w:spacing w:after="0"/>
            </w:pPr>
            <w:r>
              <w:rPr>
                <w:rFonts w:ascii="Aptos" w:hAnsi="Aptos" w:eastAsia="宋体"/>
                <w:sz w:val="18"/>
              </w:rPr>
              <w:t>ΔO / NO_CHANGE / ABSTAIN</w:t>
            </w:r>
          </w:p>
        </w:tc>
        <w:tc>
          <w:tcPr>
            <w:tcW w:type="dxa" w:w="2948"/>
            <w:vAlign w:val="center"/>
          </w:tcPr>
          <w:p>
            <w:pPr>
              <w:spacing w:after="0"/>
            </w:pPr>
            <w:r>
              <w:rPr>
                <w:rFonts w:ascii="Aptos" w:hAnsi="Aptos" w:eastAsia="宋体"/>
                <w:sz w:val="18"/>
              </w:rPr>
              <w:t>Repair accuracy, strict success, candidate recall, abstention metrics</w:t>
            </w:r>
          </w:p>
        </w:tc>
      </w:tr>
      <w:tr>
        <w:tc>
          <w:tcPr>
            <w:tcW w:type="dxa" w:w="1814"/>
            <w:vAlign w:val="top"/>
          </w:tcPr>
          <w:p>
            <w:pPr>
              <w:spacing w:after="0"/>
            </w:pPr>
            <w:r>
              <w:rPr>
                <w:rFonts w:ascii="Aptos" w:hAnsi="Aptos" w:eastAsia="宋体"/>
                <w:sz w:val="18"/>
              </w:rPr>
            </w:r>
            <w:r>
              <w:rPr>
                <w:rFonts w:ascii="Aptos" w:hAnsi="Aptos" w:eastAsia="宋体"/>
                <w:b w:val="0"/>
                <w:sz w:val="18"/>
              </w:rPr>
              <w:t>Task C: End-to-End</w:t>
            </w:r>
          </w:p>
        </w:tc>
        <w:tc>
          <w:tcPr>
            <w:tcW w:type="dxa" w:w="2494"/>
            <w:vAlign w:val="top"/>
          </w:tcPr>
          <w:p>
            <w:pPr>
              <w:spacing w:after="0"/>
            </w:pPr>
            <w:r>
              <w:rPr>
                <w:rFonts w:ascii="Aptos" w:hAnsi="Aptos" w:eastAsia="宋体"/>
                <w:sz w:val="18"/>
              </w:rPr>
            </w:r>
            <w:r>
              <w:rPr>
                <w:rFonts w:ascii="Aptos" w:hAnsi="Aptos" w:eastAsia="宋体"/>
                <w:b w:val="0"/>
                <w:sz w:val="18"/>
              </w:rPr>
              <w:t>Documents + O_t</w:t>
            </w:r>
          </w:p>
        </w:tc>
        <w:tc>
          <w:tcPr>
            <w:tcW w:type="dxa" w:w="2835"/>
            <w:vAlign w:val="top"/>
          </w:tcPr>
          <w:p>
            <w:pPr>
              <w:spacing w:after="0"/>
            </w:pPr>
            <w:r>
              <w:rPr>
                <w:rFonts w:ascii="Aptos" w:hAnsi="Aptos" w:eastAsia="宋体"/>
                <w:sz w:val="18"/>
              </w:rPr>
            </w:r>
            <w:r>
              <w:rPr>
                <w:rFonts w:ascii="Aptos" w:hAnsi="Aptos" w:eastAsia="宋体"/>
                <w:b w:val="0"/>
                <w:sz w:val="18"/>
              </w:rPr>
              <w:t>O_{t+1}</w:t>
            </w:r>
          </w:p>
        </w:tc>
        <w:tc>
          <w:tcPr>
            <w:tcW w:type="dxa" w:w="2948"/>
            <w:vAlign w:val="center"/>
          </w:tcPr>
          <w:p>
            <w:pPr>
              <w:spacing w:after="0"/>
            </w:pPr>
            <w:r>
              <w:rPr>
                <w:rFonts w:ascii="Aptos" w:hAnsi="Aptos" w:eastAsia="宋体"/>
                <w:sz w:val="18"/>
              </w:rPr>
              <w:t>E2E repair accuracy, false modification rate, CQ recovery, evidence/candidate recall</w:t>
            </w:r>
          </w:p>
        </w:tc>
      </w:tr>
    </w:tbl>
    <w:p/>
    <w:p>
      <w:pPr>
        <w:pStyle w:val="Heading3"/>
      </w:pPr>
      <w:r>
        <w:t>4.1.1 三层评价协议</w:t>
      </w:r>
    </w:p>
    <w:p>
      <w:pPr/>
      <w:r>
        <w:t>Track R1（Oracle-Evidence/Oracle-Candidate）测量有限候选决策上界；Track R2（Retrieved-Evidence/Generated-Candidate）测量检索与候选生成后的修复能力；Track R3（Documents-to-Ontology End-to-End）测量完整系统。三层结果不得混表替代，强baseline必须在同一Track、同一输入与尽量匹配的推理预算下比较。</w:t>
      </w:r>
    </w:p>
    <w:p>
      <w:pPr>
        <w:pStyle w:val="EquationBlock"/>
      </w:pPr>
      <w:r>
        <w:t>E2E Success = EvidenceRecall × CandidateRecall × ConditionalDecisionSuccess  （仅作误差分解，不假设统计独立）</w:t>
      </w:r>
    </w:p>
    <w:p>
      <w:pPr>
        <w:pStyle w:val="Heading2"/>
      </w:pPr>
      <w:r>
        <w:t>4.2 Semantic IR</w:t>
      </w:r>
    </w:p>
    <w:p>
      <w:pPr>
        <w:pStyle w:val="EquationBlock"/>
        <w:jc w:val="center"/>
      </w:pPr>
      <w:r>
        <w:rPr>
          <w:rFonts w:ascii="Cambria Math" w:hAnsi="Cambria Math" w:eastAsia="Cambria Math"/>
          <w:sz w:val="21"/>
        </w:rPr>
        <w:t>Z = ⟨T, S, R, X, A, P, M, U⟩</w:t>
      </w:r>
    </w:p>
    <w:tbl>
      <w:tblPr>
        <w:tblStyle w:val="TableGrid"/>
        <w:tblW w:type="auto" w:w="0"/>
        <w:jc w:val="center"/>
        <w:tblLook w:firstColumn="1" w:firstRow="1" w:lastColumn="0" w:lastRow="0" w:noHBand="0" w:noVBand="1" w:val="04A0"/>
      </w:tblPr>
      <w:tblGrid>
        <w:gridCol w:w="3173"/>
        <w:gridCol w:w="3173"/>
        <w:gridCol w:w="3173"/>
      </w:tblGrid>
      <w:tr>
        <w:tc>
          <w:tcPr>
            <w:tcW w:type="dxa" w:w="794"/>
            <w:shd w:fill="D9EAF7"/>
            <w:vAlign w:val="center"/>
          </w:tcPr>
          <w:p>
            <w:pPr>
              <w:spacing w:after="0"/>
            </w:pPr>
            <w:r>
              <w:rPr>
                <w:rFonts w:ascii="Aptos" w:hAnsi="Aptos" w:eastAsia="宋体"/>
                <w:sz w:val="18"/>
              </w:rPr>
            </w:r>
            <w:r>
              <w:rPr>
                <w:rFonts w:ascii="Aptos" w:hAnsi="Aptos" w:eastAsia="宋体"/>
                <w:b/>
                <w:sz w:val="18"/>
              </w:rPr>
              <w:t>字段</w:t>
            </w:r>
          </w:p>
        </w:tc>
        <w:tc>
          <w:tcPr>
            <w:tcW w:type="dxa" w:w="2551"/>
            <w:shd w:fill="D9EAF7"/>
            <w:vAlign w:val="center"/>
          </w:tcPr>
          <w:p>
            <w:pPr>
              <w:spacing w:after="0"/>
            </w:pPr>
            <w:r>
              <w:rPr>
                <w:rFonts w:ascii="Aptos" w:hAnsi="Aptos" w:eastAsia="宋体"/>
                <w:sz w:val="18"/>
              </w:rPr>
            </w:r>
            <w:r>
              <w:rPr>
                <w:rFonts w:ascii="Aptos" w:hAnsi="Aptos" w:eastAsia="宋体"/>
                <w:b/>
                <w:sz w:val="18"/>
              </w:rPr>
              <w:t>含义</w:t>
            </w:r>
          </w:p>
        </w:tc>
        <w:tc>
          <w:tcPr>
            <w:tcW w:type="dxa" w:w="5669"/>
            <w:shd w:fill="D9EAF7"/>
            <w:vAlign w:val="center"/>
          </w:tcPr>
          <w:p>
            <w:pPr>
              <w:spacing w:after="0"/>
            </w:pPr>
            <w:r>
              <w:rPr>
                <w:rFonts w:ascii="Aptos" w:hAnsi="Aptos" w:eastAsia="宋体"/>
                <w:sz w:val="18"/>
              </w:rPr>
            </w:r>
            <w:r>
              <w:rPr>
                <w:rFonts w:ascii="Aptos" w:hAnsi="Aptos" w:eastAsia="宋体"/>
                <w:b/>
                <w:sz w:val="18"/>
              </w:rPr>
              <w:t>作用</w:t>
            </w:r>
          </w:p>
        </w:tc>
      </w:tr>
      <w:tr>
        <w:tc>
          <w:tcPr>
            <w:tcW w:type="dxa" w:w="794"/>
            <w:vAlign w:val="top"/>
          </w:tcPr>
          <w:p>
            <w:pPr>
              <w:spacing w:after="0"/>
            </w:pPr>
            <w:r>
              <w:rPr>
                <w:rFonts w:ascii="Aptos" w:hAnsi="Aptos" w:eastAsia="宋体"/>
                <w:sz w:val="18"/>
              </w:rPr>
            </w:r>
            <w:r>
              <w:rPr>
                <w:rFonts w:ascii="Aptos" w:hAnsi="Aptos" w:eastAsia="宋体"/>
                <w:b w:val="0"/>
                <w:sz w:val="18"/>
              </w:rPr>
              <w:t>T</w:t>
            </w:r>
          </w:p>
        </w:tc>
        <w:tc>
          <w:tcPr>
            <w:tcW w:type="dxa" w:w="2551"/>
            <w:vAlign w:val="top"/>
          </w:tcPr>
          <w:p>
            <w:pPr>
              <w:spacing w:after="0"/>
            </w:pPr>
            <w:r>
              <w:rPr>
                <w:rFonts w:ascii="Aptos" w:hAnsi="Aptos" w:eastAsia="宋体"/>
                <w:sz w:val="18"/>
              </w:rPr>
            </w:r>
            <w:r>
              <w:rPr>
                <w:rFonts w:ascii="Aptos" w:hAnsi="Aptos" w:eastAsia="宋体"/>
                <w:b w:val="0"/>
                <w:sz w:val="18"/>
              </w:rPr>
              <w:t>Temporal Anchor</w:t>
            </w:r>
          </w:p>
        </w:tc>
        <w:tc>
          <w:tcPr>
            <w:tcW w:type="dxa" w:w="5669"/>
            <w:vAlign w:val="top"/>
          </w:tcPr>
          <w:p>
            <w:pPr>
              <w:spacing w:after="0"/>
            </w:pPr>
            <w:r>
              <w:rPr>
                <w:rFonts w:ascii="Aptos" w:hAnsi="Aptos" w:eastAsia="宋体"/>
                <w:sz w:val="18"/>
              </w:rPr>
            </w:r>
            <w:r>
              <w:rPr>
                <w:rFonts w:ascii="Aptos" w:hAnsi="Aptos" w:eastAsia="宋体"/>
                <w:b w:val="0"/>
                <w:sz w:val="18"/>
              </w:rPr>
              <w:t>生效时间、版本关系、替代方向</w:t>
            </w:r>
          </w:p>
        </w:tc>
      </w:tr>
      <w:tr>
        <w:tc>
          <w:tcPr>
            <w:tcW w:type="dxa" w:w="794"/>
            <w:vAlign w:val="top"/>
          </w:tcPr>
          <w:p>
            <w:pPr>
              <w:spacing w:after="0"/>
            </w:pPr>
            <w:r>
              <w:rPr>
                <w:rFonts w:ascii="Aptos" w:hAnsi="Aptos" w:eastAsia="宋体"/>
                <w:sz w:val="18"/>
              </w:rPr>
            </w:r>
            <w:r>
              <w:rPr>
                <w:rFonts w:ascii="Aptos" w:hAnsi="Aptos" w:eastAsia="宋体"/>
                <w:b w:val="0"/>
                <w:sz w:val="18"/>
              </w:rPr>
              <w:t>S</w:t>
            </w:r>
          </w:p>
        </w:tc>
        <w:tc>
          <w:tcPr>
            <w:tcW w:type="dxa" w:w="2551"/>
            <w:vAlign w:val="top"/>
          </w:tcPr>
          <w:p>
            <w:pPr>
              <w:spacing w:after="0"/>
            </w:pPr>
            <w:r>
              <w:rPr>
                <w:rFonts w:ascii="Aptos" w:hAnsi="Aptos" w:eastAsia="宋体"/>
                <w:sz w:val="18"/>
              </w:rPr>
            </w:r>
            <w:r>
              <w:rPr>
                <w:rFonts w:ascii="Aptos" w:hAnsi="Aptos" w:eastAsia="宋体"/>
                <w:b w:val="0"/>
                <w:sz w:val="18"/>
              </w:rPr>
              <w:t>Scope</w:t>
            </w:r>
          </w:p>
        </w:tc>
        <w:tc>
          <w:tcPr>
            <w:tcW w:type="dxa" w:w="5669"/>
            <w:vAlign w:val="top"/>
          </w:tcPr>
          <w:p>
            <w:pPr>
              <w:spacing w:after="0"/>
            </w:pPr>
            <w:r>
              <w:rPr>
                <w:rFonts w:ascii="Aptos" w:hAnsi="Aptos" w:eastAsia="宋体"/>
                <w:sz w:val="18"/>
              </w:rPr>
            </w:r>
            <w:r>
              <w:rPr>
                <w:rFonts w:ascii="Aptos" w:hAnsi="Aptos" w:eastAsia="宋体"/>
                <w:b w:val="0"/>
                <w:sz w:val="18"/>
              </w:rPr>
              <w:t>适用对象与作用范围</w:t>
            </w:r>
          </w:p>
        </w:tc>
      </w:tr>
      <w:tr>
        <w:tc>
          <w:tcPr>
            <w:tcW w:type="dxa" w:w="794"/>
            <w:vAlign w:val="top"/>
          </w:tcPr>
          <w:p>
            <w:pPr>
              <w:spacing w:after="0"/>
            </w:pPr>
            <w:r>
              <w:rPr>
                <w:rFonts w:ascii="Aptos" w:hAnsi="Aptos" w:eastAsia="宋体"/>
                <w:sz w:val="18"/>
              </w:rPr>
            </w:r>
            <w:r>
              <w:rPr>
                <w:rFonts w:ascii="Aptos" w:hAnsi="Aptos" w:eastAsia="宋体"/>
                <w:b w:val="0"/>
                <w:sz w:val="18"/>
              </w:rPr>
              <w:t>R</w:t>
            </w:r>
          </w:p>
        </w:tc>
        <w:tc>
          <w:tcPr>
            <w:tcW w:type="dxa" w:w="2551"/>
            <w:vAlign w:val="top"/>
          </w:tcPr>
          <w:p>
            <w:pPr>
              <w:spacing w:after="0"/>
            </w:pPr>
            <w:r>
              <w:rPr>
                <w:rFonts w:ascii="Aptos" w:hAnsi="Aptos" w:eastAsia="宋体"/>
                <w:sz w:val="18"/>
              </w:rPr>
            </w:r>
            <w:r>
              <w:rPr>
                <w:rFonts w:ascii="Aptos" w:hAnsi="Aptos" w:eastAsia="宋体"/>
                <w:b w:val="0"/>
                <w:sz w:val="18"/>
              </w:rPr>
              <w:t>Rule Semantics</w:t>
            </w:r>
          </w:p>
        </w:tc>
        <w:tc>
          <w:tcPr>
            <w:tcW w:type="dxa" w:w="5669"/>
            <w:vAlign w:val="top"/>
          </w:tcPr>
          <w:p>
            <w:pPr>
              <w:spacing w:after="0"/>
            </w:pPr>
            <w:r>
              <w:rPr>
                <w:rFonts w:ascii="Aptos" w:hAnsi="Aptos" w:eastAsia="宋体"/>
                <w:sz w:val="18"/>
              </w:rPr>
            </w:r>
            <w:r>
              <w:rPr>
                <w:rFonts w:ascii="Aptos" w:hAnsi="Aptos" w:eastAsia="宋体"/>
                <w:b w:val="0"/>
                <w:sz w:val="18"/>
              </w:rPr>
              <w:t>核心规范规则</w:t>
            </w:r>
          </w:p>
        </w:tc>
      </w:tr>
      <w:tr>
        <w:tc>
          <w:tcPr>
            <w:tcW w:type="dxa" w:w="794"/>
            <w:vAlign w:val="top"/>
          </w:tcPr>
          <w:p>
            <w:pPr>
              <w:spacing w:after="0"/>
            </w:pPr>
            <w:r>
              <w:rPr>
                <w:rFonts w:ascii="Aptos" w:hAnsi="Aptos" w:eastAsia="宋体"/>
                <w:sz w:val="18"/>
              </w:rPr>
            </w:r>
            <w:r>
              <w:rPr>
                <w:rFonts w:ascii="Aptos" w:hAnsi="Aptos" w:eastAsia="宋体"/>
                <w:b w:val="0"/>
                <w:sz w:val="18"/>
              </w:rPr>
              <w:t>X</w:t>
            </w:r>
          </w:p>
        </w:tc>
        <w:tc>
          <w:tcPr>
            <w:tcW w:type="dxa" w:w="2551"/>
            <w:vAlign w:val="top"/>
          </w:tcPr>
          <w:p>
            <w:pPr>
              <w:spacing w:after="0"/>
            </w:pPr>
            <w:r>
              <w:rPr>
                <w:rFonts w:ascii="Aptos" w:hAnsi="Aptos" w:eastAsia="宋体"/>
                <w:sz w:val="18"/>
              </w:rPr>
            </w:r>
            <w:r>
              <w:rPr>
                <w:rFonts w:ascii="Aptos" w:hAnsi="Aptos" w:eastAsia="宋体"/>
                <w:b w:val="0"/>
                <w:sz w:val="18"/>
              </w:rPr>
              <w:t>Exception</w:t>
            </w:r>
          </w:p>
        </w:tc>
        <w:tc>
          <w:tcPr>
            <w:tcW w:type="dxa" w:w="5669"/>
            <w:vAlign w:val="top"/>
          </w:tcPr>
          <w:p>
            <w:pPr>
              <w:spacing w:after="0"/>
            </w:pPr>
            <w:r>
              <w:rPr>
                <w:rFonts w:ascii="Aptos" w:hAnsi="Aptos" w:eastAsia="宋体"/>
                <w:sz w:val="18"/>
              </w:rPr>
            </w:r>
            <w:r>
              <w:rPr>
                <w:rFonts w:ascii="Aptos" w:hAnsi="Aptos" w:eastAsia="宋体"/>
                <w:b w:val="0"/>
                <w:sz w:val="18"/>
              </w:rPr>
              <w:t>例外、覆盖、条件分支</w:t>
            </w:r>
          </w:p>
        </w:tc>
      </w:tr>
      <w:tr>
        <w:tc>
          <w:tcPr>
            <w:tcW w:type="dxa" w:w="794"/>
            <w:vAlign w:val="top"/>
          </w:tcPr>
          <w:p>
            <w:pPr>
              <w:spacing w:after="0"/>
            </w:pPr>
            <w:r>
              <w:rPr>
                <w:rFonts w:ascii="Aptos" w:hAnsi="Aptos" w:eastAsia="宋体"/>
                <w:sz w:val="18"/>
              </w:rPr>
            </w:r>
            <w:r>
              <w:rPr>
                <w:rFonts w:ascii="Aptos" w:hAnsi="Aptos" w:eastAsia="宋体"/>
                <w:b w:val="0"/>
                <w:sz w:val="18"/>
              </w:rPr>
              <w:t>A</w:t>
            </w:r>
          </w:p>
        </w:tc>
        <w:tc>
          <w:tcPr>
            <w:tcW w:type="dxa" w:w="2551"/>
            <w:vAlign w:val="top"/>
          </w:tcPr>
          <w:p>
            <w:pPr>
              <w:spacing w:after="0"/>
            </w:pPr>
            <w:r>
              <w:rPr>
                <w:rFonts w:ascii="Aptos" w:hAnsi="Aptos" w:eastAsia="宋体"/>
                <w:sz w:val="18"/>
              </w:rPr>
            </w:r>
            <w:r>
              <w:rPr>
                <w:rFonts w:ascii="Aptos" w:hAnsi="Aptos" w:eastAsia="宋体"/>
                <w:b w:val="0"/>
                <w:sz w:val="18"/>
              </w:rPr>
              <w:t>Action / Operation</w:t>
            </w:r>
          </w:p>
        </w:tc>
        <w:tc>
          <w:tcPr>
            <w:tcW w:type="dxa" w:w="5669"/>
            <w:vAlign w:val="top"/>
          </w:tcPr>
          <w:p>
            <w:pPr>
              <w:spacing w:after="0"/>
            </w:pPr>
            <w:r>
              <w:rPr>
                <w:rFonts w:ascii="Aptos" w:hAnsi="Aptos" w:eastAsia="宋体"/>
                <w:sz w:val="18"/>
              </w:rPr>
            </w:r>
            <w:r>
              <w:rPr>
                <w:rFonts w:ascii="Aptos" w:hAnsi="Aptos" w:eastAsia="宋体"/>
                <w:b w:val="0"/>
                <w:sz w:val="18"/>
              </w:rPr>
              <w:t>新增、删除、替换、收窄、扩展</w:t>
            </w:r>
          </w:p>
        </w:tc>
      </w:tr>
      <w:tr>
        <w:tc>
          <w:tcPr>
            <w:tcW w:type="dxa" w:w="794"/>
            <w:vAlign w:val="top"/>
          </w:tcPr>
          <w:p>
            <w:pPr>
              <w:spacing w:after="0"/>
            </w:pPr>
            <w:r>
              <w:rPr>
                <w:rFonts w:ascii="Aptos" w:hAnsi="Aptos" w:eastAsia="宋体"/>
                <w:sz w:val="18"/>
              </w:rPr>
            </w:r>
            <w:r>
              <w:rPr>
                <w:rFonts w:ascii="Aptos" w:hAnsi="Aptos" w:eastAsia="宋体"/>
                <w:b w:val="0"/>
                <w:sz w:val="18"/>
              </w:rPr>
              <w:t>P</w:t>
            </w:r>
          </w:p>
        </w:tc>
        <w:tc>
          <w:tcPr>
            <w:tcW w:type="dxa" w:w="2551"/>
            <w:vAlign w:val="top"/>
          </w:tcPr>
          <w:p>
            <w:pPr>
              <w:spacing w:after="0"/>
            </w:pPr>
            <w:r>
              <w:rPr>
                <w:rFonts w:ascii="Aptos" w:hAnsi="Aptos" w:eastAsia="宋体"/>
                <w:sz w:val="18"/>
              </w:rPr>
            </w:r>
            <w:r>
              <w:rPr>
                <w:rFonts w:ascii="Aptos" w:hAnsi="Aptos" w:eastAsia="宋体"/>
                <w:b w:val="0"/>
                <w:sz w:val="18"/>
              </w:rPr>
              <w:t>Provenance</w:t>
            </w:r>
          </w:p>
        </w:tc>
        <w:tc>
          <w:tcPr>
            <w:tcW w:type="dxa" w:w="5669"/>
            <w:vAlign w:val="top"/>
          </w:tcPr>
          <w:p>
            <w:pPr>
              <w:spacing w:after="0"/>
            </w:pPr>
            <w:r>
              <w:rPr>
                <w:rFonts w:ascii="Aptos" w:hAnsi="Aptos" w:eastAsia="宋体"/>
                <w:sz w:val="18"/>
              </w:rPr>
            </w:r>
            <w:r>
              <w:rPr>
                <w:rFonts w:ascii="Aptos" w:hAnsi="Aptos" w:eastAsia="宋体"/>
                <w:b w:val="0"/>
                <w:sz w:val="18"/>
              </w:rPr>
              <w:t>证据来源、版本、位置</w:t>
            </w:r>
          </w:p>
        </w:tc>
      </w:tr>
      <w:tr>
        <w:tc>
          <w:tcPr>
            <w:tcW w:type="dxa" w:w="794"/>
            <w:vAlign w:val="top"/>
          </w:tcPr>
          <w:p>
            <w:pPr>
              <w:spacing w:after="0"/>
            </w:pPr>
            <w:r>
              <w:rPr>
                <w:rFonts w:ascii="Aptos" w:hAnsi="Aptos" w:eastAsia="宋体"/>
                <w:sz w:val="18"/>
              </w:rPr>
            </w:r>
            <w:r>
              <w:rPr>
                <w:rFonts w:ascii="Aptos" w:hAnsi="Aptos" w:eastAsia="宋体"/>
                <w:b w:val="0"/>
                <w:sz w:val="18"/>
              </w:rPr>
              <w:t>M</w:t>
            </w:r>
          </w:p>
        </w:tc>
        <w:tc>
          <w:tcPr>
            <w:tcW w:type="dxa" w:w="2551"/>
            <w:vAlign w:val="top"/>
          </w:tcPr>
          <w:p>
            <w:pPr>
              <w:spacing w:after="0"/>
            </w:pPr>
            <w:r>
              <w:rPr>
                <w:rFonts w:ascii="Aptos" w:hAnsi="Aptos" w:eastAsia="宋体"/>
                <w:sz w:val="18"/>
              </w:rPr>
            </w:r>
            <w:r>
              <w:rPr>
                <w:rFonts w:ascii="Aptos" w:hAnsi="Aptos" w:eastAsia="宋体"/>
                <w:b w:val="0"/>
                <w:sz w:val="18"/>
              </w:rPr>
              <w:t>Modality</w:t>
            </w:r>
          </w:p>
        </w:tc>
        <w:tc>
          <w:tcPr>
            <w:tcW w:type="dxa" w:w="5669"/>
            <w:vAlign w:val="top"/>
          </w:tcPr>
          <w:p>
            <w:pPr>
              <w:spacing w:after="0"/>
            </w:pPr>
            <w:r>
              <w:rPr>
                <w:rFonts w:ascii="Aptos" w:hAnsi="Aptos" w:eastAsia="宋体"/>
                <w:sz w:val="18"/>
              </w:rPr>
            </w:r>
            <w:r>
              <w:rPr>
                <w:rFonts w:ascii="Aptos" w:hAnsi="Aptos" w:eastAsia="宋体"/>
                <w:b w:val="0"/>
                <w:sz w:val="18"/>
              </w:rPr>
              <w:t>MUST/SHOULD/MAY等规范强度</w:t>
            </w:r>
          </w:p>
        </w:tc>
      </w:tr>
      <w:tr>
        <w:tc>
          <w:tcPr>
            <w:tcW w:type="dxa" w:w="794"/>
            <w:vAlign w:val="top"/>
          </w:tcPr>
          <w:p>
            <w:pPr>
              <w:spacing w:after="0"/>
            </w:pPr>
            <w:r>
              <w:rPr>
                <w:rFonts w:ascii="Aptos" w:hAnsi="Aptos" w:eastAsia="宋体"/>
                <w:sz w:val="18"/>
              </w:rPr>
            </w:r>
            <w:r>
              <w:rPr>
                <w:rFonts w:ascii="Aptos" w:hAnsi="Aptos" w:eastAsia="宋体"/>
                <w:b w:val="0"/>
                <w:sz w:val="18"/>
              </w:rPr>
              <w:t>U</w:t>
            </w:r>
          </w:p>
        </w:tc>
        <w:tc>
          <w:tcPr>
            <w:tcW w:type="dxa" w:w="2551"/>
            <w:vAlign w:val="top"/>
          </w:tcPr>
          <w:p>
            <w:pPr>
              <w:spacing w:after="0"/>
            </w:pPr>
            <w:r>
              <w:rPr>
                <w:rFonts w:ascii="Aptos" w:hAnsi="Aptos" w:eastAsia="宋体"/>
                <w:sz w:val="18"/>
              </w:rPr>
            </w:r>
            <w:r>
              <w:rPr>
                <w:rFonts w:ascii="Aptos" w:hAnsi="Aptos" w:eastAsia="宋体"/>
                <w:b w:val="0"/>
                <w:sz w:val="18"/>
              </w:rPr>
              <w:t>Uncertainty</w:t>
            </w:r>
          </w:p>
        </w:tc>
        <w:tc>
          <w:tcPr>
            <w:tcW w:type="dxa" w:w="5669"/>
            <w:vAlign w:val="top"/>
          </w:tcPr>
          <w:p>
            <w:pPr>
              <w:spacing w:after="0"/>
            </w:pPr>
            <w:r>
              <w:rPr>
                <w:rFonts w:ascii="Aptos" w:hAnsi="Aptos" w:eastAsia="宋体"/>
                <w:sz w:val="18"/>
              </w:rPr>
            </w:r>
            <w:r>
              <w:rPr>
                <w:rFonts w:ascii="Aptos" w:hAnsi="Aptos" w:eastAsia="宋体"/>
                <w:b w:val="0"/>
                <w:sz w:val="18"/>
              </w:rPr>
              <w:t>提取不确定性与证据充分性</w:t>
            </w:r>
          </w:p>
        </w:tc>
      </w:tr>
    </w:tbl>
    <w:p/>
    <w:p>
      <w:pPr>
        <w:pStyle w:val="Heading2"/>
      </w:pPr>
      <w:r>
        <w:t>4.3 Normative Meta-Semantics and OWL Compilation Contract</w:t>
      </w:r>
    </w:p>
    <w:p>
      <w:pPr>
        <w:pStyle w:val="EquationBlock"/>
      </w:pPr>
      <w:r>
        <w:t>H = ⟨Authority, Jurisdiction, ValidTime, Scope, Exception, Modality⟩</w:t>
      </w:r>
    </w:p>
    <w:p>
      <w:pPr>
        <w:pStyle w:val="EquationBlock"/>
      </w:pPr>
      <w:r>
        <w:t>ResolveNormative(Z,E,O_t) → P_t;    Validate(P_t,Schema,O_v) → h∈L_Γ;    Γ(h,O_v) → ⟨status,A⁺,A⁻⟩</w:t>
      </w:r>
    </w:p>
    <w:p>
      <w:pPr/>
      <w:r>
        <w:t>时间有效性、规范权威、管辖范围、一般规则—例外及MUST/SHOULD/MAY首先在规范语义元层中解析；只有已消解、Schema合法且前置条件可验证的Repair IR才能进入Γ。Γ是无LLM、无检索、无随机性的确定性编译器，使用穷举switch/match将支持构造转换为OWL AST级补丁。OWL层负责公理表达、逻辑一致性、蕴含与CQ验证；无法唯一消解的规范冲突在上游输出ABSTAIN，无法支持的合法IR由Γ返回UNSUPPORTED。</w:t>
      </w:r>
    </w:p>
    <w:p>
      <w:pPr>
        <w:pStyle w:val="SmallNote"/>
      </w:pPr>
      <w:r>
        <w:t>Representation Boundary：Normative decision semantics ≠ OWL model-theoretic semantics。该分层用于解决开放世界/单调推理与规范例外、模态、时效性之间的语义错位，不新增无边界的通用规则引擎主张。</w:t>
      </w:r>
    </w:p>
    <w:p>
      <w:pPr>
        <w:pStyle w:val="Heading3"/>
      </w:pPr>
      <w:r>
        <w:t>4.3.1 Minimal Validated Repair IR</w:t>
      </w:r>
    </w:p>
    <w:p>
      <w:pPr/>
      <w:r>
        <w:t>最小字段包括event_id、ontology_hash、operation、target、replacement/payload、axiom_type、entity IRI、datatype、preconditions与provenance。自由文本不得直接控制OWL写操作；IR必须先通过JSON Schema、枚举、IRI、数据类型和字段组合验证。</w:t>
      </w:r>
    </w:p>
    <w:p>
      <w:pPr>
        <w:pStyle w:val="Heading3"/>
      </w:pPr>
      <w:r>
        <w:t>4.3.2 Exhaustive Compilation</w:t>
      </w:r>
    </w:p>
    <w:p>
      <w:pPr/>
      <w:r>
        <w:t>每个冻结构造对应唯一编译函数，顶层仅允许穷举switch/match。禁止default分支调用LLM、根据字符串相似度猜测操作或在失败时生成自由OWL。新增构造必须递增编译器与实验版本，并重跑全部Gold IR测试。</w:t>
      </w:r>
    </w:p>
    <w:p>
      <w:pPr>
        <w:pStyle w:val="Heading3"/>
      </w:pPr>
      <w:r>
        <w:t>4.3.3 Preconditions and Failure Atomicity</w:t>
      </w:r>
    </w:p>
    <w:p>
      <w:pPr/>
      <w:r>
        <w:t>ADD检查新公理不存在与实体合法；REMOVE检查目标存在且唯一；REPLACE检查旧公理存在、新旧类型兼容；literal/restriction更新检查数据类型与限制类型。版本哈希、目标唯一性或类型检查任一失败，返回PRECONDITION_FAILED且空补丁。补丁先在内存副本验证，只有COMPILED并通过形式检查后才允许提交。</w:t>
      </w:r>
    </w:p>
    <w:p>
      <w:pPr>
        <w:pStyle w:val="Heading3"/>
      </w:pPr>
      <w:r>
        <w:t>4.3.4 MVP Claim Boundary</w:t>
      </w:r>
    </w:p>
    <w:p>
      <w:pPr/>
      <w:r>
        <w:t>MVP以3–5种高覆盖构造为目标，不追求通用规范编译。第一阶段可证明Determinism与Failure-Atomic Rejection Safety；完整的IR—OWL指称语义保持作为后续理论增强，仅在逐构造定义语义并完成证明后进入正式claim。</w:t>
      </w:r>
    </w:p>
    <w:p>
      <w:pPr>
        <w:pStyle w:val="Heading2"/>
      </w:pPr>
      <w:r>
        <w:t>4.4 证据感知与轻量Belief Revision</w:t>
      </w:r>
    </w:p>
    <w:p>
      <w:r>
        <w:t>不宣称完整AGM，而采用面向版本化规范的约束式修正模型。</w:t>
      </w:r>
    </w:p>
    <w:p>
      <w:pPr>
        <w:pStyle w:val="EquationBlock"/>
        <w:jc w:val="center"/>
      </w:pPr>
      <w:r>
        <w:rPr>
          <w:rFonts w:ascii="Cambria Math" w:hAnsi="Cambria Math" w:eastAsia="Cambria Math"/>
          <w:sz w:val="21"/>
        </w:rPr>
        <w:t>Revise(O_t, E_{t+1}) = O_t ⊕ ΔO_t*</w:t>
      </w:r>
    </w:p>
    <w:p>
      <w:pPr>
        <w:pStyle w:val="EquationBlock"/>
        <w:jc w:val="center"/>
      </w:pPr>
      <w:r>
        <w:rPr>
          <w:rFonts w:ascii="Cambria Math" w:hAnsi="Cambria Math" w:eastAsia="Cambria Math"/>
          <w:sz w:val="21"/>
        </w:rPr>
        <w:t>E_i ≻_norm E_j iff Applicable(E_i) ∧ HigherAuthorityOrValidSupersession(E_i,E_j)</w:t>
      </w:r>
    </w:p>
    <w:p>
      <w:pPr>
        <w:pStyle w:val="EquationBlock"/>
        <w:jc w:val="center"/>
      </w:pPr>
      <w:r>
        <w:rPr>
          <w:rFonts w:ascii="Cambria Math" w:hAnsi="Cambria Math" w:eastAsia="Cambria Math"/>
          <w:sz w:val="21"/>
        </w:rPr>
        <w:t>Conflict(E_new, O_t) = 1 ∧ ResolvedBy(H) = 1 → Revision</w:t>
      </w:r>
    </w:p>
    <w:p>
      <w:pPr>
        <w:pStyle w:val="EquationBlock"/>
        <w:jc w:val="center"/>
      </w:pPr>
      <w:r>
        <w:rPr>
          <w:rFonts w:ascii="Cambria Math" w:hAnsi="Cambria Math" w:eastAsia="Cambria Math"/>
          <w:sz w:val="21"/>
        </w:rPr>
        <w:t>Insufficient(E_new) = 1 ∨ NormativeConflictUnresolved(H) = 1 → ABSTAIN</w:t>
      </w:r>
    </w:p>
    <w:p>
      <w:pPr>
        <w:pStyle w:val="Heading2"/>
      </w:pPr>
      <w:r>
        <w:t>4.5 证据置信度</w:t>
      </w:r>
    </w:p>
    <w:p>
      <w:pPr>
        <w:pStyle w:val="EquationBlock"/>
        <w:jc w:val="center"/>
      </w:pPr>
      <w:r>
        <w:rPr>
          <w:rFonts w:ascii="Cambria Math" w:hAnsi="Cambria Math" w:eastAsia="Cambria Math"/>
          <w:sz w:val="21"/>
        </w:rPr>
        <w:t>Conf(E) = f(ExtractionConsistency, Provenance, ConstraintMatch, VerifierAgreement)</w:t>
      </w:r>
    </w:p>
    <w:p>
      <w:r>
        <w:t>避免只用LLM自报confidence；使用可观测一致性、来源和验证结果共同形成置信信号。</w:t>
      </w:r>
    </w:p>
    <w:p>
      <w:pPr/>
      <w:r>
        <w:t>Conf(E)及abstention阈值只能在Dev上拟合并在Test前冻结；除Coverage与Selective Risk外，报告可靠性图、Brier Score或适用于结构化状态的校准误差。若Verifier与Extractor使用同一模型，必须披露其相关性风险，不把同源一致误写成独立证据。</w:t>
      </w:r>
    </w:p>
    <w:p>
      <w:pPr>
        <w:pStyle w:val="Heading2"/>
      </w:pPr>
      <w:r>
        <w:t>4.6 Symbolically Guided Neural Revision</w:t>
      </w:r>
    </w:p>
    <w:p>
      <w:pPr>
        <w:pStyle w:val="EquationBlock"/>
        <w:jc w:val="center"/>
      </w:pPr>
      <w:r>
        <w:rPr>
          <w:rFonts w:ascii="Cambria Math" w:hAnsi="Cambria Math" w:eastAsia="Cambria Math"/>
          <w:sz w:val="21"/>
        </w:rPr>
        <w:t>FormalViolation → DiagnosticFeedback → NeuralRevision</w:t>
      </w:r>
    </w:p>
    <w:p>
      <w:pPr>
        <w:pStyle w:val="EquationBlock"/>
        <w:jc w:val="center"/>
      </w:pPr>
      <w:r>
        <w:rPr>
          <w:rFonts w:ascii="Cambria Math" w:hAnsi="Cambria Math" w:eastAsia="Cambria Math"/>
          <w:sz w:val="21"/>
        </w:rPr>
        <w:t>N_retry ≤ 1</w:t>
      </w:r>
    </w:p>
    <w:p>
      <w:r>
        <w:t>在线反馈不再作为固定主流程。仅当出现可恢复的形式约束违规时，符号诊断被转换为结构化自然语言约束并触发一次定向重提取；若收益低或成本过高，则最终论文中删除在线重试，仅保留失败轨迹用于离线few-shot数据增强。</w:t>
      </w:r>
    </w:p>
    <w:p>
      <w:r>
        <w:t>保留判据：若在线反馈显著降低Wrong Repair Rate或Selective Risk，且成本可接受，则作为safety fallback保留；若主要只增加API成本、准确率/风险改善很小，则从最终在线架构删除，改用于offline error-driven few-shot augmentation。</w:t>
      </w:r>
    </w:p>
    <w:p>
      <w:pPr>
        <w:pStyle w:val="Heading2"/>
      </w:pPr>
      <w:r>
        <w:t>4.7 Semantic IR-to-IRI Resolver</w:t>
      </w:r>
    </w:p>
    <w:p>
      <w:pPr>
        <w:pStyle w:val="EquationBlock"/>
        <w:jc w:val="center"/>
      </w:pPr>
      <w:r>
        <w:rPr>
          <w:rFonts w:ascii="Cambria Math" w:hAnsi="Cambria Math" w:eastAsia="Cambria Math"/>
          <w:sz w:val="21"/>
        </w:rPr>
        <w:t>Text Mention → Canonical Entity → Ontology IRI</w:t>
      </w:r>
    </w:p>
    <w:p>
      <w:r>
        <w:t>采用确定性别名映射、规范化、精确匹配和受控模糊回退。</w:t>
      </w:r>
    </w:p>
    <w:p>
      <w:pPr>
        <w:pStyle w:val="EquationBlock"/>
        <w:jc w:val="center"/>
      </w:pPr>
      <w:r>
        <w:rPr>
          <w:rFonts w:ascii="Cambria Math" w:hAnsi="Cambria Math" w:eastAsia="Cambria Math"/>
          <w:sz w:val="21"/>
        </w:rPr>
        <w:t>IRIResolutionFailure = 1 → ABSTAIN</w:t>
      </w:r>
    </w:p>
    <w:p>
      <w:pPr>
        <w:pStyle w:val="Heading2"/>
      </w:pPr>
      <w:r>
        <w:t>4.8 Observable OOD / Novelty</w:t>
      </w:r>
    </w:p>
    <w:p>
      <w:pPr>
        <w:pStyle w:val="EquationBlock"/>
        <w:jc w:val="center"/>
      </w:pPr>
      <w:r>
        <w:rPr>
          <w:rFonts w:ascii="Cambria Math" w:hAnsi="Cambria Math" w:eastAsia="Cambria Math"/>
          <w:sz w:val="21"/>
        </w:rPr>
        <w:t>Novelty = UnknownEntity ∨ NoIRI ∨ UnknownRelation ∨ SchemaMismatch</w:t>
      </w:r>
    </w:p>
    <w:p>
      <w:pPr>
        <w:pStyle w:val="EquationBlock"/>
        <w:jc w:val="center"/>
      </w:pPr>
      <w:r>
        <w:rPr>
          <w:rFonts w:ascii="Cambria Math" w:hAnsi="Cambria Math" w:eastAsia="Cambria Math"/>
          <w:sz w:val="21"/>
        </w:rPr>
        <w:t>Novelty = 1 → MandatoryHumanReview</w:t>
      </w:r>
    </w:p>
    <w:p>
      <w:pPr>
        <w:pStyle w:val="Heading1"/>
      </w:pPr>
      <w:r>
        <w:t>5. 本体表达能力与T-Box修复</w:t>
      </w:r>
    </w:p>
    <w:p>
      <w:r>
        <w:t>新增Complex Axiom Repair子基准，并将正式补丁对象从RDF三元组升级为OWL Axiom级操作，避免复杂公理在RDF序列化时因Blank Node展开而被误判为“非预期编辑”。</w:t>
      </w:r>
    </w:p>
    <w:p>
      <w:pPr>
        <w:pStyle w:val="EquationBlock"/>
      </w:pPr>
      <w:r>
        <w:t>ΔO_t = (A⁺, A⁻)</w:t>
      </w:r>
    </w:p>
    <w:p>
      <w:pPr>
        <w:pStyle w:val="EquationBlock"/>
      </w:pPr>
      <w:r>
        <w:t>A⁺ = axioms to add;   A⁻ = axioms to remove</w:t>
      </w:r>
    </w:p>
    <w:p>
      <w:pPr>
        <w:pStyle w:val="EquationBlock"/>
      </w:pPr>
      <w:r>
        <w:t>Δ_axiom = Axioms(O_{t+1}) △ Axioms(O_t);   validate Δ_axiom = Δ_expected</w:t>
      </w:r>
    </w:p>
    <w:p>
      <w:r>
        <w:t>对于A ⊑ ∃R.B等复杂公理，RDF序列化产生的Blank Node及辅助三元组由OWL API/serializer管理；主算法不直接以这些辅助三元组作为修复语义单位。</w:t>
      </w:r>
    </w:p>
    <w:p>
      <w:pPr>
        <w:pStyle w:val="EquationBlock"/>
        <w:jc w:val="center"/>
      </w:pPr>
      <w:r>
        <w:rPr>
          <w:rFonts w:ascii="Cambria Math" w:hAnsi="Cambria Math" w:eastAsia="Cambria Math"/>
          <w:sz w:val="21"/>
        </w:rPr>
        <w:t>A ⊑ B</w:t>
      </w:r>
    </w:p>
    <w:p>
      <w:pPr>
        <w:pStyle w:val="EquationBlock"/>
        <w:jc w:val="center"/>
      </w:pPr>
      <w:r>
        <w:rPr>
          <w:rFonts w:ascii="Cambria Math" w:hAnsi="Cambria Math" w:eastAsia="Cambria Math"/>
          <w:sz w:val="21"/>
        </w:rPr>
        <w:t>A ≡ B ⊓ C</w:t>
      </w:r>
    </w:p>
    <w:p>
      <w:pPr>
        <w:pStyle w:val="EquationBlock"/>
        <w:jc w:val="center"/>
      </w:pPr>
      <w:r>
        <w:rPr>
          <w:rFonts w:ascii="Cambria Math" w:hAnsi="Cambria Math" w:eastAsia="Cambria Math"/>
          <w:sz w:val="21"/>
        </w:rPr>
        <w:t>A ⊑ ∃R.B</w:t>
      </w:r>
    </w:p>
    <w:p>
      <w:pPr>
        <w:pStyle w:val="EquationBlock"/>
        <w:jc w:val="center"/>
      </w:pPr>
      <w:r>
        <w:rPr>
          <w:rFonts w:ascii="Cambria Math" w:hAnsi="Cambria Math" w:eastAsia="Cambria Math"/>
          <w:sz w:val="21"/>
        </w:rPr>
        <w:t>A ⊑ ∀R.B</w:t>
      </w:r>
    </w:p>
    <w:p>
      <w:pPr>
        <w:pStyle w:val="EquationBlock"/>
        <w:jc w:val="center"/>
      </w:pPr>
      <w:r>
        <w:rPr>
          <w:rFonts w:ascii="Cambria Math" w:hAnsi="Cambria Math" w:eastAsia="Cambria Math"/>
          <w:sz w:val="21"/>
        </w:rPr>
        <w:t>A ⊑ (≤ n R.B)</w:t>
      </w:r>
    </w:p>
    <w:p>
      <w:r>
        <w:t>同时覆盖domain/range、disjointness、cardinality、object property restriction与class hierarchy restructuring。复杂公理统一采用Axiom-level Patch；RDF triple diff仅作为序列化健全性检查，不再作为复杂T-Box修复的主验证标准。</w:t>
      </w:r>
    </w:p>
    <w:p>
      <w:r>
        <w:t>推荐40–60个高质量事件，独立报告，不声称支持任意OWL DL演化。</w:t>
      </w:r>
    </w:p>
    <w:p>
      <w:pPr>
        <w:pStyle w:val="Heading2"/>
      </w:pPr>
      <w:r>
        <w:rPr>
          <w:rFonts w:ascii="Aptos" w:hAnsi="Aptos" w:eastAsia="黑体"/>
          <w:b w:val="0"/>
          <w:i w:val="0"/>
          <w:sz w:val="21"/>
        </w:rPr>
        <w:t>5.1 Semantic-Aware Axiom Diff</w:t>
      </w:r>
    </w:p>
    <w:p>
      <w:r>
        <w:rPr>
          <w:rFonts w:ascii="Aptos" w:hAnsi="Aptos" w:eastAsia="宋体"/>
          <w:b w:val="0"/>
          <w:i w:val="0"/>
          <w:sz w:val="21"/>
        </w:rPr>
        <w:t>复杂OWL公理可能“语法不同但语义等价”。因此V1.7不直接对原始序列化公理执行字符串或哈希差分，而采用“规范化 + 局部语义等价检查 + 公理差分”的三级验证流程。</w:t>
      </w:r>
    </w:p>
    <w:p>
      <w:pPr>
        <w:pStyle w:val="EquationBlock"/>
        <w:jc w:val="center"/>
      </w:pPr>
      <w:r>
        <w:rPr>
          <w:rFonts w:ascii="Cambria Math" w:hAnsi="Cambria Math" w:eastAsia="Cambria Math"/>
          <w:b w:val="0"/>
          <w:i w:val="0"/>
          <w:sz w:val="21"/>
        </w:rPr>
        <w:t>Raw Axiom → Canonicalization → Local Semantic-Equivalence Check → Axiom Diff</w:t>
      </w:r>
    </w:p>
    <w:p>
      <w:r>
        <w:rPr>
          <w:rFonts w:ascii="Aptos" w:hAnsi="Aptos" w:eastAsia="宋体"/>
          <w:b w:val="0"/>
          <w:i w:val="0"/>
          <w:sz w:val="21"/>
        </w:rPr>
        <w:t>Canonicalization至少覆盖IRI规范化、交换型操作数排序、已知等价语法重写、inverse property规范形式和restriction结构规范化。若规范化后两个公理仍结构不同，但存在语义等价可能，则仅在受影响的locality module中执行互相蕴含/等价检查。</w:t>
      </w:r>
    </w:p>
    <w:p>
      <w:pPr>
        <w:pStyle w:val="EquationBlock"/>
        <w:jc w:val="center"/>
      </w:pPr>
      <w:r>
        <w:rPr>
          <w:rFonts w:ascii="Cambria Math" w:hAnsi="Cambria Math" w:eastAsia="Cambria Math"/>
          <w:b w:val="0"/>
          <w:i w:val="0"/>
          <w:sz w:val="21"/>
        </w:rPr>
        <w:t>Δ_axiom^sem = Diff(Canonical(Axioms(O_t)), Canonical(Axioms(O_{t+1})))</w:t>
      </w:r>
    </w:p>
    <w:p>
      <w:r>
        <w:rPr>
          <w:rFonts w:ascii="Aptos" w:hAnsi="Aptos" w:eastAsia="宋体"/>
          <w:b w:val="0"/>
          <w:i w:val="0"/>
          <w:sz w:val="21"/>
        </w:rPr>
        <w:t>只有当规范化后差异仍存在，且局部语义检查不能证明等价时，才将其视为真实的Undeclared Edit。Graph Diff仅保留为RDF serialization sanity check，不作为复杂T-Box修复的主验收标准。</w:t>
      </w:r>
    </w:p>
    <w:p>
      <w:pPr>
        <w:pStyle w:val="Heading2"/>
      </w:pPr>
      <w:r>
        <w:rPr>
          <w:rFonts w:ascii="Aptos" w:hAnsi="Aptos" w:eastAsia="黑体"/>
          <w:b w:val="0"/>
          <w:i w:val="0"/>
          <w:sz w:val="21"/>
        </w:rPr>
        <w:t>5.2 Resource-Bounded Semantic Equivalence</w:t>
      </w:r>
    </w:p>
    <w:p>
      <w:r>
        <w:rPr>
          <w:rFonts w:ascii="Aptos" w:hAnsi="Aptos" w:eastAsia="宋体"/>
          <w:b w:val="0"/>
          <w:i w:val="0"/>
          <w:sz w:val="21"/>
        </w:rPr>
        <w:t>V1.7将“局部语义等价检查”进一步拆分为候选差异与确认差异两个阶段。首先对规范化后的公理集合执行轻量语法比较得到Candidate Axiom Diff；该候选差异仅用于确定需要检查的签名，不等同于最终确认的语义差异。随后根据候选差异的联合签名抽取syntactic locality module，再在局部模块和固定资源预算内执行语义等价检查。</w:t>
      </w:r>
    </w:p>
    <w:p>
      <w:pPr>
        <w:pStyle w:val="EquationBlock"/>
        <w:jc w:val="center"/>
      </w:pPr>
      <w:r>
        <w:rPr>
          <w:rFonts w:ascii="Cambria Math" w:hAnsi="Cambria Math" w:eastAsia="Cambria Math"/>
          <w:b w:val="0"/>
          <w:i w:val="0"/>
          <w:sz w:val="21"/>
        </w:rPr>
        <w:t>Δ_axiom^cand = SyntacticDiff(Canonical(Axioms(O_t)), Canonical(Axioms(O_{t+1})))</w:t>
      </w:r>
    </w:p>
    <w:p>
      <w:pPr>
        <w:pStyle w:val="EquationBlock"/>
        <w:jc w:val="center"/>
      </w:pPr>
      <w:r>
        <w:rPr>
          <w:rFonts w:ascii="Cambria Math" w:hAnsi="Cambria Math" w:eastAsia="Cambria Math"/>
          <w:b w:val="0"/>
          <w:i w:val="0"/>
          <w:sz w:val="21"/>
        </w:rPr>
        <w:t>Σ_cand = sig(Δ_axiom^cand_old) ∪ sig(Δ_axiom^cand_new)</w:t>
      </w:r>
    </w:p>
    <w:p>
      <w:pPr>
        <w:pStyle w:val="EquationBlock"/>
        <w:jc w:val="center"/>
      </w:pPr>
      <w:r>
        <w:rPr>
          <w:rFonts w:ascii="Cambria Math" w:hAnsi="Cambria Math" w:eastAsia="Cambria Math"/>
          <w:b w:val="0"/>
          <w:i w:val="0"/>
          <w:sz w:val="21"/>
        </w:rPr>
        <w:t>M_Σ^old = ExtractModule(O_t, Σ_cand);    M_Σ^new = ExtractModule(O_t ⊕ ΔO, Σ_cand)</w:t>
      </w:r>
    </w:p>
    <w:p>
      <w:pPr>
        <w:pStyle w:val="EquationBlock"/>
      </w:pPr>
      <w:r>
        <w:t>M_Σ = M_Σ^old ∪ M_Σ^new</w:t>
      </w:r>
    </w:p>
    <w:p>
      <w:r>
        <w:rPr>
          <w:rFonts w:ascii="Aptos" w:hAnsi="Aptos" w:eastAsia="宋体"/>
          <w:b w:val="0"/>
          <w:i w:val="0"/>
          <w:sz w:val="21"/>
        </w:rPr>
        <w:t>等价检查不得无限制退化为全局推理。定义资源预算 B_eq=(T_max, N_rule, N_entailment, |M|_max)，分别约束最大检查时间、规则应用预算、entailment检查次数和模块规模。只有在该预算内进行互相蕴含/等价验证。</w:t>
      </w:r>
    </w:p>
    <w:p>
      <w:pPr>
        <w:pStyle w:val="EquationBlock"/>
        <w:jc w:val="center"/>
      </w:pPr>
      <w:r>
        <w:rPr>
          <w:rFonts w:ascii="Cambria Math" w:hAnsi="Cambria Math" w:eastAsia="Cambria Math"/>
          <w:b w:val="0"/>
          <w:i w:val="0"/>
          <w:sz w:val="21"/>
        </w:rPr>
        <w:t>EqStatus(α, β) ∈ {EQUIVALENT, DIFFERENT, UNRESOLVED}</w:t>
      </w:r>
    </w:p>
    <w:p>
      <w:r>
        <w:rPr>
          <w:rFonts w:ascii="Aptos" w:hAnsi="Aptos" w:eastAsia="宋体"/>
          <w:b w:val="0"/>
          <w:i w:val="0"/>
          <w:sz w:val="21"/>
        </w:rPr>
        <w:t>若在预算内证明 α 与 β 互相蕴含，则标记EQUIVALENT；若能够确认它们产生不同语义后果，则标记DIFFERENT；若预算耗尽或证据不足，则标记UNRESOLVED。UNRESOLVED不是“不同”也不是“相同”，必须触发abstain或人工复核。</w:t>
      </w:r>
    </w:p>
    <w:p>
      <w:pPr>
        <w:pStyle w:val="EquationBlock"/>
        <w:jc w:val="center"/>
      </w:pPr>
      <w:r>
        <w:rPr>
          <w:rFonts w:ascii="Cambria Math" w:hAnsi="Cambria Math" w:eastAsia="Cambria Math"/>
          <w:b w:val="0"/>
          <w:i w:val="0"/>
          <w:sz w:val="21"/>
        </w:rPr>
        <w:t>UNRESOLVED → ABSTAIN / HUMAN REVIEW</w:t>
      </w:r>
    </w:p>
    <w:p>
      <w:r>
        <w:rPr>
          <w:rFonts w:ascii="Aptos" w:hAnsi="Aptos" w:eastAsia="宋体"/>
          <w:b w:val="0"/>
          <w:i w:val="0"/>
          <w:sz w:val="21"/>
        </w:rPr>
        <w:t>最终Confirmed Semantic Axiom Diff仅包含经规范化与资源受限局部检查后确认的真实变化。这样既避免因OWL等价写法造成误报，也避免为了证明等价而让增量验证退化为无界完整推理。</w:t>
      </w:r>
    </w:p>
    <w:p>
      <w:pPr>
        <w:pStyle w:val="EquationBlock"/>
        <w:jc w:val="center"/>
      </w:pPr>
      <w:r>
        <w:rPr>
          <w:rFonts w:ascii="Cambria Math" w:hAnsi="Cambria Math" w:eastAsia="Cambria Math"/>
          <w:b w:val="0"/>
          <w:i w:val="0"/>
          <w:sz w:val="21"/>
        </w:rPr>
        <w:t>Δ_axiom^confirmed = Confirm(Δ_axiom^cand, M_Σ, B_eq)</w:t>
      </w:r>
    </w:p>
    <w:p>
      <w:pPr>
        <w:pStyle w:val="Heading1"/>
      </w:pPr>
      <w:r>
        <w:t>6. 增量形式验证与扩展性</w:t>
      </w:r>
    </w:p>
    <w:p>
      <w:r>
        <w:t>实现基于syntactic locality module extraction的局部影响域验证，不重新发明通用Reasoner。模块由补丁签名Σ_Δ=sig(ΔO)驱动抽取，并与Full Reasoning做结果一致性与加速比审计。</w:t>
      </w:r>
    </w:p>
    <w:p>
      <w:pPr>
        <w:pStyle w:val="EquationBlock"/>
        <w:jc w:val="center"/>
      </w:pPr>
      <w:r>
        <w:t>Σ_Δ = sig(ΔO);   M_{Σ_Δ}(O_t) = SyntacticLocalityModule(O_t, Σ_Δ)</w:t>
      </w:r>
    </w:p>
    <w:p>
      <w:pPr>
        <w:pStyle w:val="EquationBlock"/>
      </w:pPr>
      <w:r>
        <w:t>M_{Σ_Δ}(O_t) ⊆ O_t</w:t>
      </w:r>
    </w:p>
    <w:p>
      <w:pPr>
        <w:pStyle w:val="EquationBlock"/>
      </w:pPr>
      <w:r>
        <w:t>LocalAgreement = I[Validate_local(ΔO) = Validate_full(ΔO)]</w:t>
      </w:r>
    </w:p>
    <w:p>
      <w:pPr>
        <w:pStyle w:val="EquationBlock"/>
      </w:pPr>
      <w:r>
        <w:t>Speedup = T_full / T_local</w:t>
      </w:r>
    </w:p>
    <w:p>
      <w:r>
        <w:t>本文不声称局部模块改变OWL推理的最坏情况复杂度；其价值由模块规模、验证一致率与实际速度提升共同证明。</w:t>
      </w:r>
    </w:p>
    <w:p>
      <w:pPr>
        <w:ind w:left="340" w:hanging="170"/>
      </w:pPr>
      <w:r>
        <w:t xml:space="preserve">• </w:t>
      </w:r>
      <w:r>
        <w:t>局部一致性检查</w:t>
      </w:r>
    </w:p>
    <w:p>
      <w:pPr>
        <w:ind w:left="340" w:hanging="170"/>
      </w:pPr>
      <w:r>
        <w:t xml:space="preserve">• </w:t>
      </w:r>
      <w:r>
        <w:t>受影响蕴含重计算</w:t>
      </w:r>
    </w:p>
    <w:p>
      <w:pPr>
        <w:ind w:left="340" w:hanging="170"/>
      </w:pPr>
      <w:r>
        <w:rPr>
          <w:rFonts w:ascii="Aptos" w:hAnsi="Aptos" w:eastAsia="宋体"/>
          <w:sz w:val="21"/>
        </w:rPr>
        <w:t>• 局部selected entailment checks（不作为主CQ回归的替代）</w:t>
      </w:r>
    </w:p>
    <w:p>
      <w:pPr>
        <w:ind w:left="340" w:hanging="170"/>
      </w:pPr>
      <w:r>
        <w:t xml:space="preserve">• </w:t>
      </w:r>
      <w:r>
        <w:t>局部Semantic-Aware Axiom Diff检查（Graph Diff仅作序列化辅助检查）</w:t>
      </w:r>
    </w:p>
    <w:p>
      <w:pPr>
        <w:pStyle w:val="EquationBlock"/>
        <w:jc w:val="center"/>
      </w:pPr>
      <w:r>
        <w:t>Locality Validation vs. Full Reasoning: agreement, latency, speedup, memory</w:t>
      </w:r>
    </w:p>
    <w:p>
      <w:pPr>
        <w:pStyle w:val="Heading2"/>
      </w:pPr>
      <w:r>
        <w:rPr>
          <w:rFonts w:ascii="Aptos" w:hAnsi="Aptos" w:eastAsia="黑体"/>
          <w:b w:val="0"/>
          <w:i w:val="0"/>
          <w:sz w:val="21"/>
        </w:rPr>
        <w:t>6.1 Locality Module 的适用边界</w:t>
      </w:r>
    </w:p>
    <w:p>
      <w:r>
        <w:rPr>
          <w:rFonts w:ascii="Aptos" w:hAnsi="Aptos" w:eastAsia="宋体"/>
          <w:sz w:val="21"/>
        </w:rPr>
        <w:t>V1.7进一步将Syntactic Locality Module定位为Conservative/Accelerative Screening：它用于缩小需要检查的影响域、局部一致性筛查、受影响公理验证和selected entailment checks，但不被当作完整本体语义的权威替代。任何强保证都必须绑定具体module算法、OWL profile、signature和entailment类型。论文主CQ回归默认在完整本体上执行。</w:t>
      </w:r>
    </w:p>
    <w:p>
      <w:pPr>
        <w:pStyle w:val="EquationBlock"/>
        <w:jc w:val="center"/>
      </w:pPr>
      <w:r>
        <w:rPr>
          <w:rFonts w:ascii="Cambria Math" w:hAnsi="Cambria Math" w:eastAsia="Cambria Math"/>
          <w:b w:val="0"/>
          <w:i w:val="0"/>
          <w:sz w:val="21"/>
        </w:rPr>
        <w:t>Primary CQ Regression = EvaluateCQ(O_full)</w:t>
      </w:r>
    </w:p>
    <w:p>
      <w:r>
        <w:rPr>
          <w:rFonts w:ascii="Aptos" w:hAnsi="Aptos" w:eastAsia="宋体"/>
          <w:b w:val="0"/>
          <w:i w:val="0"/>
          <w:sz w:val="21"/>
        </w:rPr>
        <w:t>局部CQ仅作为E11扩展性实验中的探索性加速方案。必须同时计算Local/Full CQ Agreement；若agreement不足，则停止使用局部CQ作为任何主结论依据。</w:t>
      </w:r>
    </w:p>
    <w:p>
      <w:pPr>
        <w:pStyle w:val="EquationBlock"/>
        <w:jc w:val="center"/>
      </w:pPr>
      <w:r>
        <w:rPr>
          <w:rFonts w:ascii="Cambria Math" w:hAnsi="Cambria Math" w:eastAsia="Cambria Math"/>
          <w:b w:val="0"/>
          <w:i w:val="0"/>
          <w:sz w:val="21"/>
        </w:rPr>
        <w:t>CQAgreement = #SameAnswers(CQ_local, CQ_full) / #Queries</w:t>
      </w:r>
    </w:p>
    <w:p>
      <w:r>
        <w:rPr>
          <w:rFonts w:ascii="Aptos" w:hAnsi="Aptos" w:eastAsia="宋体"/>
          <w:b w:val="0"/>
          <w:i w:val="0"/>
          <w:sz w:val="21"/>
        </w:rPr>
        <w:t>因此，locality module不被宣称为对任意查询答案的保守替代，也不声称改变OWL推理的最坏情况复杂度。</w:t>
      </w:r>
    </w:p>
    <w:p>
      <w:pPr>
        <w:pStyle w:val="Heading2"/>
      </w:pPr>
      <w:r>
        <w:rPr>
          <w:rFonts w:ascii="Aptos" w:hAnsi="Aptos" w:eastAsia="黑体"/>
          <w:b w:val="0"/>
          <w:i w:val="0"/>
          <w:sz w:val="21"/>
        </w:rPr>
        <w:t>6.2 Conservative Local Validation Boundary</w:t>
      </w:r>
    </w:p>
    <w:p>
      <w:r>
        <w:rPr>
          <w:rFonts w:ascii="Aptos" w:hAnsi="Aptos" w:eastAsia="宋体"/>
          <w:b w:val="0"/>
          <w:i w:val="0"/>
          <w:sz w:val="21"/>
        </w:rPr>
        <w:t>Local validation的角色是“快速保守筛查 + 影响域定位”，不是“证明任意全局CQ答案”。若局部模块发现冲突，可直接阻止补丁进入下一阶段；若局部模块未发现冲突，则仍需按照预注册策略执行full-ontology authoritative checks，尤其是主CQ回归。</w:t>
      </w:r>
    </w:p>
    <w:p>
      <w:pPr>
        <w:pStyle w:val="EquationBlock"/>
        <w:jc w:val="center"/>
      </w:pPr>
      <w:r>
        <w:rPr>
          <w:rFonts w:ascii="Cambria Math" w:hAnsi="Cambria Math" w:eastAsia="Cambria Math"/>
          <w:b w:val="0"/>
          <w:i w:val="0"/>
          <w:sz w:val="21"/>
        </w:rPr>
        <w:t>LocalFail ⇒ Reject/Review;  LocalPass ⇏ GlobalCQCorrect</w:t>
      </w:r>
    </w:p>
    <w:p>
      <w:r>
        <w:rPr>
          <w:rFonts w:ascii="Aptos" w:hAnsi="Aptos" w:eastAsia="宋体"/>
          <w:b w:val="0"/>
          <w:i w:val="0"/>
          <w:sz w:val="21"/>
        </w:rPr>
        <w:t>E11仅把Local/Full Agreement作为扩展性与边界实验。只有在预先限定的profile、signature与query class上获得充分理论依据或接近完全的经验agreement，才能讨论更强的局部替代结论。</w:t>
      </w:r>
    </w:p>
    <w:p>
      <w:pPr>
        <w:pStyle w:val="Heading1"/>
      </w:pPr>
      <w:r>
        <w:t>7. 高风险领域部署与Expert-in-the-loop</w:t>
      </w:r>
    </w:p>
    <w:p>
      <w:pPr>
        <w:pStyle w:val="EquationBlock"/>
        <w:jc w:val="center"/>
      </w:pPr>
      <w:r>
        <w:rPr>
          <w:rFonts w:ascii="Cambria Math" w:hAnsi="Cambria Math" w:eastAsia="Cambria Math"/>
          <w:sz w:val="21"/>
        </w:rPr>
        <w:t>Repair → Justification → Risk Assessment → Human Approval → Deploy</w:t>
      </w:r>
    </w:p>
    <w:p>
      <w:pPr>
        <w:pStyle w:val="EquationBlock"/>
        <w:jc w:val="center"/>
      </w:pPr>
      <w:r>
        <w:rPr>
          <w:rFonts w:ascii="Cambria Math" w:hAnsi="Cambria Math" w:eastAsia="Cambria Math"/>
          <w:sz w:val="21"/>
        </w:rPr>
        <w:t>RiskFlag = LowConfidence ∨ NovelEntity ∨ Conflict ∨ MultiValid ∨ FormalFailure</w:t>
      </w:r>
    </w:p>
    <w:p>
      <w:pPr>
        <w:pStyle w:val="EquationBlock"/>
        <w:jc w:val="center"/>
      </w:pPr>
      <w:r>
        <w:rPr>
          <w:rFonts w:ascii="Cambria Math" w:hAnsi="Cambria Math" w:eastAsia="Cambria Math"/>
          <w:sz w:val="21"/>
        </w:rPr>
        <w:t>RiskFlag = 1 → HumanReview = Mandatory</w:t>
      </w:r>
    </w:p>
    <w:p>
      <w:r>
        <w:t>医疗、保险等高风险场景中，系统定位为专家智能辅助系统，不执行无人监管的生产规则发布。</w:t>
      </w:r>
    </w:p>
    <w:p>
      <w:pPr>
        <w:pStyle w:val="Heading1"/>
      </w:pPr>
      <w:r>
        <w:t>8. 数据集最终设计</w:t>
      </w:r>
    </w:p>
    <w:p>
      <w:pPr>
        <w:pStyle w:val="Heading2"/>
      </w:pPr>
      <w:r>
        <w:t>8.1 主benchmark</w:t>
      </w:r>
    </w:p>
    <w:p>
      <w:pPr>
        <w:pStyle w:val="EquationBlock"/>
        <w:jc w:val="center"/>
      </w:pPr>
      <w:r>
        <w:t>RFC technical standards + public insurance/regulatory rules + public medical guidelines</w:t>
      </w:r>
    </w:p>
    <w:p>
      <w:pPr>
        <w:pStyle w:val="EquationBlock"/>
        <w:jc w:val="center"/>
      </w:pPr>
      <w:r>
        <w:rPr>
          <w:rFonts w:ascii="Cambria Math" w:hAnsi="Cambria Math" w:eastAsia="Cambria Math"/>
          <w:sz w:val="21"/>
        </w:rPr>
        <w:t>RFC 213 confirmatory core → Insurance/Medical pilots → power-driven expansion</w:t>
      </w:r>
    </w:p>
    <w:p>
      <w:r>
        <w:t>RFC领域以external-real-v3-naturalized 213事件作为确认性核心，优先完成Gold Repair构造审计、最小Γ、编译器验证和端到端主实验。初稿264与冻结213不是同一评测口径，旧结果不得直接复用。保险与医疗先各构建60–100个高质量独立试点事件，再根据discordant-pair、领域内聚类、专家成本和预注册功效分析决定是否扩展，单领域213仅作为上限目标而非P0硬门槛。</w:t>
      </w:r>
    </w:p>
    <w:p>
      <w:pPr>
        <w:pStyle w:val="Heading3"/>
      </w:pPr>
      <w:r>
        <w:t>8.1.1 数据许可与本体来源硬约束</w:t>
      </w:r>
    </w:p>
    <w:p>
      <w:r>
        <w:t>医疗：优先使用WHO、NICE、CDC等公开版本化指南作为规范证据源；依据这些公开指南构建局部任务本体。除非获得并披露合法许可，不将SNOMED CT、UMLS、ICD受限内容作为可公开复现实验的必要依赖。</w:t>
      </w:r>
    </w:p>
    <w:p>
      <w:r>
        <w:t>保险：优先使用公开监管规则、公开保险条款或可合法用于科研的真实规则文本，并据此构建任务本体；不把难以公开获取的ACORD完整标准作为复现实验前提。</w:t>
      </w:r>
    </w:p>
    <w:p>
      <w:r>
        <w:t>统一原则：Real Versioned Documents → Research Task Ontology。研究贡献针对“规范驱动的本体语义演化”，并不要求采用领域官方完整本体全集。</w:t>
      </w:r>
    </w:p>
    <w:p>
      <w:r>
        <w:t>许可审计：每个数据源记录license_status、redistribution_status、citation_requirement和allowed_artifacts；任何无法确认许可的受限资源不得进入公开benchmark。</w:t>
      </w:r>
    </w:p>
    <w:p>
      <w:pPr>
        <w:pStyle w:val="Heading2"/>
      </w:pPr>
      <w:r>
        <w:t>8.2 独立压力测试子集</w:t>
      </w:r>
    </w:p>
    <w:tbl>
      <w:tblPr>
        <w:tblStyle w:val="TableGrid"/>
        <w:tblW w:type="auto" w:w="0"/>
        <w:jc w:val="center"/>
        <w:tblLook w:firstColumn="1" w:firstRow="1" w:lastColumn="0" w:lastRow="0" w:noHBand="0" w:noVBand="1" w:val="04A0"/>
      </w:tblPr>
      <w:tblGrid>
        <w:gridCol w:w="3173"/>
        <w:gridCol w:w="3173"/>
        <w:gridCol w:w="3173"/>
      </w:tblGrid>
      <w:tr>
        <w:tc>
          <w:tcPr>
            <w:tcW w:type="dxa" w:w="2381"/>
            <w:shd w:fill="D9EAF7"/>
            <w:vAlign w:val="center"/>
          </w:tcPr>
          <w:p>
            <w:pPr>
              <w:spacing w:after="0"/>
            </w:pPr>
            <w:r>
              <w:rPr>
                <w:rFonts w:ascii="Aptos" w:hAnsi="Aptos" w:eastAsia="宋体"/>
                <w:sz w:val="18"/>
              </w:rPr>
            </w:r>
            <w:r>
              <w:rPr>
                <w:rFonts w:ascii="Aptos" w:hAnsi="Aptos" w:eastAsia="宋体"/>
                <w:b/>
                <w:sz w:val="18"/>
              </w:rPr>
              <w:t>子集</w:t>
            </w:r>
          </w:p>
        </w:tc>
        <w:tc>
          <w:tcPr>
            <w:tcW w:type="dxa" w:w="4649"/>
            <w:shd w:fill="D9EAF7"/>
            <w:vAlign w:val="center"/>
          </w:tcPr>
          <w:p>
            <w:pPr>
              <w:spacing w:after="0"/>
            </w:pPr>
            <w:r>
              <w:rPr>
                <w:rFonts w:ascii="Aptos" w:hAnsi="Aptos" w:eastAsia="宋体"/>
                <w:sz w:val="18"/>
              </w:rPr>
            </w:r>
            <w:r>
              <w:rPr>
                <w:rFonts w:ascii="Aptos" w:hAnsi="Aptos" w:eastAsia="宋体"/>
                <w:b/>
                <w:sz w:val="18"/>
              </w:rPr>
              <w:t>目的</w:t>
            </w:r>
          </w:p>
        </w:tc>
        <w:tc>
          <w:tcPr>
            <w:tcW w:type="dxa" w:w="2268"/>
            <w:shd w:fill="D9EAF7"/>
            <w:vAlign w:val="center"/>
          </w:tcPr>
          <w:p>
            <w:pPr>
              <w:spacing w:after="0"/>
            </w:pPr>
            <w:r>
              <w:rPr>
                <w:rFonts w:ascii="Aptos" w:hAnsi="Aptos" w:eastAsia="宋体"/>
                <w:sz w:val="18"/>
              </w:rPr>
            </w:r>
            <w:r>
              <w:rPr>
                <w:rFonts w:ascii="Aptos" w:hAnsi="Aptos" w:eastAsia="宋体"/>
                <w:b/>
                <w:sz w:val="18"/>
              </w:rPr>
              <w:t>建议规模</w:t>
            </w:r>
          </w:p>
        </w:tc>
      </w:tr>
      <w:tr>
        <w:tc>
          <w:tcPr>
            <w:tcW w:type="dxa" w:w="2381"/>
            <w:vAlign w:val="top"/>
          </w:tcPr>
          <w:p>
            <w:pPr>
              <w:spacing w:after="0"/>
            </w:pPr>
            <w:r>
              <w:rPr>
                <w:rFonts w:ascii="Aptos" w:hAnsi="Aptos" w:eastAsia="宋体"/>
                <w:sz w:val="18"/>
              </w:rPr>
            </w:r>
            <w:r>
              <w:rPr>
                <w:rFonts w:ascii="Aptos" w:hAnsi="Aptos" w:eastAsia="宋体"/>
                <w:b w:val="0"/>
                <w:sz w:val="18"/>
              </w:rPr>
              <w:t>No-Drift</w:t>
            </w:r>
          </w:p>
        </w:tc>
        <w:tc>
          <w:tcPr>
            <w:tcW w:type="dxa" w:w="4649"/>
            <w:vAlign w:val="top"/>
          </w:tcPr>
          <w:p>
            <w:pPr>
              <w:spacing w:after="0"/>
            </w:pPr>
            <w:r>
              <w:rPr>
                <w:rFonts w:ascii="Aptos" w:hAnsi="Aptos" w:eastAsia="宋体"/>
                <w:sz w:val="18"/>
              </w:rPr>
            </w:r>
            <w:r>
              <w:rPr>
                <w:rFonts w:ascii="Aptos" w:hAnsi="Aptos" w:eastAsia="宋体"/>
                <w:b w:val="0"/>
                <w:sz w:val="18"/>
              </w:rPr>
              <w:t>测试误修复/误报</w:t>
            </w:r>
          </w:p>
        </w:tc>
        <w:tc>
          <w:tcPr>
            <w:tcW w:type="dxa" w:w="2268"/>
            <w:vAlign w:val="top"/>
          </w:tcPr>
          <w:p>
            <w:pPr>
              <w:spacing w:after="0"/>
            </w:pPr>
            <w:r>
              <w:rPr>
                <w:rFonts w:ascii="Aptos" w:hAnsi="Aptos" w:eastAsia="宋体"/>
                <w:sz w:val="18"/>
              </w:rPr>
            </w:r>
            <w:r>
              <w:rPr>
                <w:rFonts w:ascii="Aptos" w:hAnsi="Aptos" w:eastAsia="宋体"/>
                <w:b w:val="0"/>
                <w:sz w:val="18"/>
              </w:rPr>
              <w:t>每领域30–50条或按真实比例构建</w:t>
            </w:r>
          </w:p>
        </w:tc>
      </w:tr>
      <w:tr>
        <w:tc>
          <w:tcPr>
            <w:tcW w:type="dxa" w:w="2381"/>
            <w:vAlign w:val="top"/>
          </w:tcPr>
          <w:p>
            <w:pPr>
              <w:spacing w:after="0"/>
            </w:pPr>
            <w:r>
              <w:rPr>
                <w:rFonts w:ascii="Aptos" w:hAnsi="Aptos" w:eastAsia="宋体"/>
                <w:sz w:val="18"/>
              </w:rPr>
            </w:r>
            <w:r>
              <w:rPr>
                <w:rFonts w:ascii="Aptos" w:hAnsi="Aptos" w:eastAsia="宋体"/>
                <w:b w:val="0"/>
                <w:sz w:val="18"/>
              </w:rPr>
              <w:t>Longitudinal Chains</w:t>
            </w:r>
          </w:p>
        </w:tc>
        <w:tc>
          <w:tcPr>
            <w:tcW w:type="dxa" w:w="4649"/>
            <w:vAlign w:val="top"/>
          </w:tcPr>
          <w:p>
            <w:pPr>
              <w:spacing w:after="0"/>
            </w:pPr>
            <w:r>
              <w:rPr>
                <w:rFonts w:ascii="Aptos" w:hAnsi="Aptos" w:eastAsia="宋体"/>
                <w:sz w:val="18"/>
              </w:rPr>
            </w:r>
            <w:r>
              <w:rPr>
                <w:rFonts w:ascii="Aptos" w:hAnsi="Aptos" w:eastAsia="宋体"/>
                <w:b w:val="0"/>
                <w:sz w:val="18"/>
              </w:rPr>
              <w:t>证明真正动态演化</w:t>
            </w:r>
          </w:p>
        </w:tc>
        <w:tc>
          <w:tcPr>
            <w:tcW w:type="dxa" w:w="2268"/>
            <w:vAlign w:val="top"/>
          </w:tcPr>
          <w:p>
            <w:r>
              <w:rPr>
                <w:rFonts w:ascii="Aptos" w:hAnsi="Aptos" w:eastAsia="宋体"/>
                <w:sz w:val="18"/>
              </w:rPr>
              <w:t>总计30–50条真实链；总transition≥100；每条3–5版本</w:t>
            </w:r>
          </w:p>
        </w:tc>
      </w:tr>
      <w:tr>
        <w:tc>
          <w:tcPr>
            <w:tcW w:type="dxa" w:w="2381"/>
            <w:vAlign w:val="top"/>
          </w:tcPr>
          <w:p>
            <w:pPr>
              <w:spacing w:after="0"/>
            </w:pPr>
            <w:r>
              <w:rPr>
                <w:rFonts w:ascii="Aptos" w:hAnsi="Aptos" w:eastAsia="宋体"/>
                <w:sz w:val="18"/>
              </w:rPr>
            </w:r>
            <w:r>
              <w:rPr>
                <w:rFonts w:ascii="Aptos" w:hAnsi="Aptos" w:eastAsia="宋体"/>
                <w:b w:val="0"/>
                <w:sz w:val="18"/>
              </w:rPr>
              <w:t>Complex T-Box</w:t>
            </w:r>
          </w:p>
        </w:tc>
        <w:tc>
          <w:tcPr>
            <w:tcW w:type="dxa" w:w="4649"/>
            <w:vAlign w:val="top"/>
          </w:tcPr>
          <w:p>
            <w:r>
              <w:rPr>
                <w:rFonts w:ascii="Aptos" w:hAnsi="Aptos" w:eastAsia="宋体"/>
                <w:sz w:val="18"/>
              </w:rPr>
              <w:t>证明Axiom-level复杂公理修复能力</w:t>
            </w:r>
          </w:p>
        </w:tc>
        <w:tc>
          <w:tcPr>
            <w:tcW w:type="dxa" w:w="2268"/>
            <w:vAlign w:val="top"/>
          </w:tcPr>
          <w:p>
            <w:r>
              <w:rPr>
                <w:rFonts w:ascii="Aptos" w:hAnsi="Aptos" w:eastAsia="宋体"/>
                <w:sz w:val="18"/>
              </w:rPr>
              <w:t>40–60个Axiom-level事件</w:t>
            </w:r>
          </w:p>
        </w:tc>
      </w:tr>
      <w:tr>
        <w:tc>
          <w:tcPr>
            <w:tcW w:type="dxa" w:w="2381"/>
            <w:vAlign w:val="top"/>
          </w:tcPr>
          <w:p>
            <w:pPr>
              <w:spacing w:after="0"/>
            </w:pPr>
            <w:r>
              <w:rPr>
                <w:rFonts w:ascii="Aptos" w:hAnsi="Aptos" w:eastAsia="宋体"/>
                <w:sz w:val="18"/>
              </w:rPr>
            </w:r>
            <w:r>
              <w:rPr>
                <w:rFonts w:ascii="Aptos" w:hAnsi="Aptos" w:eastAsia="宋体"/>
                <w:b w:val="0"/>
                <w:sz w:val="18"/>
              </w:rPr>
              <w:t>Paraphrase</w:t>
            </w:r>
          </w:p>
        </w:tc>
        <w:tc>
          <w:tcPr>
            <w:tcW w:type="dxa" w:w="4649"/>
            <w:vAlign w:val="top"/>
          </w:tcPr>
          <w:p>
            <w:pPr>
              <w:spacing w:after="0"/>
            </w:pPr>
            <w:r>
              <w:rPr>
                <w:rFonts w:ascii="Aptos" w:hAnsi="Aptos" w:eastAsia="宋体"/>
                <w:sz w:val="18"/>
              </w:rPr>
            </w:r>
            <w:r>
              <w:rPr>
                <w:rFonts w:ascii="Aptos" w:hAnsi="Aptos" w:eastAsia="宋体"/>
                <w:b w:val="0"/>
                <w:sz w:val="18"/>
              </w:rPr>
              <w:t>降低预训练记忆与字符串匹配质疑</w:t>
            </w:r>
          </w:p>
        </w:tc>
        <w:tc>
          <w:tcPr>
            <w:tcW w:type="dxa" w:w="2268"/>
            <w:vAlign w:val="top"/>
          </w:tcPr>
          <w:p>
            <w:pPr>
              <w:spacing w:after="0"/>
            </w:pPr>
            <w:r>
              <w:rPr>
                <w:rFonts w:ascii="Aptos" w:hAnsi="Aptos" w:eastAsia="宋体"/>
                <w:sz w:val="18"/>
              </w:rPr>
            </w:r>
            <w:r>
              <w:rPr>
                <w:rFonts w:ascii="Aptos" w:hAnsi="Aptos" w:eastAsia="宋体"/>
                <w:b w:val="0"/>
                <w:sz w:val="18"/>
              </w:rPr>
              <w:t>代表性核心事件重述</w:t>
            </w:r>
          </w:p>
        </w:tc>
      </w:tr>
      <w:tr>
        <w:tc>
          <w:tcPr>
            <w:tcW w:type="dxa" w:w="2381"/>
            <w:vAlign w:val="top"/>
          </w:tcPr>
          <w:p>
            <w:pPr>
              <w:spacing w:after="0"/>
            </w:pPr>
            <w:r>
              <w:rPr>
                <w:rFonts w:ascii="Aptos" w:hAnsi="Aptos" w:eastAsia="宋体"/>
                <w:sz w:val="18"/>
              </w:rPr>
            </w:r>
            <w:r>
              <w:rPr>
                <w:rFonts w:ascii="Aptos" w:hAnsi="Aptos" w:eastAsia="宋体"/>
                <w:b w:val="0"/>
                <w:sz w:val="18"/>
              </w:rPr>
              <w:t>Noisy Evidence</w:t>
            </w:r>
          </w:p>
        </w:tc>
        <w:tc>
          <w:tcPr>
            <w:tcW w:type="dxa" w:w="4649"/>
            <w:vAlign w:val="top"/>
          </w:tcPr>
          <w:p>
            <w:pPr>
              <w:spacing w:after="0"/>
            </w:pPr>
            <w:r>
              <w:rPr>
                <w:rFonts w:ascii="Aptos" w:hAnsi="Aptos" w:eastAsia="宋体"/>
                <w:sz w:val="18"/>
              </w:rPr>
            </w:r>
            <w:r>
              <w:rPr>
                <w:rFonts w:ascii="Aptos" w:hAnsi="Aptos" w:eastAsia="宋体"/>
                <w:b w:val="0"/>
                <w:sz w:val="18"/>
              </w:rPr>
              <w:t>测试上下文噪声与OCR/删词韧性</w:t>
            </w:r>
          </w:p>
        </w:tc>
        <w:tc>
          <w:tcPr>
            <w:tcW w:type="dxa" w:w="2268"/>
            <w:vAlign w:val="top"/>
          </w:tcPr>
          <w:p>
            <w:pPr>
              <w:spacing w:after="0"/>
            </w:pPr>
            <w:r>
              <w:rPr>
                <w:rFonts w:ascii="Aptos" w:hAnsi="Aptos" w:eastAsia="宋体"/>
                <w:sz w:val="18"/>
              </w:rPr>
            </w:r>
            <w:r>
              <w:rPr>
                <w:rFonts w:ascii="Aptos" w:hAnsi="Aptos" w:eastAsia="宋体"/>
                <w:b w:val="0"/>
                <w:sz w:val="18"/>
              </w:rPr>
              <w:t>分5%、10%等噪声级别</w:t>
            </w:r>
          </w:p>
        </w:tc>
      </w:tr>
      <w:tr>
        <w:tc>
          <w:tcPr>
            <w:tcW w:type="dxa" w:w="2381"/>
            <w:vAlign w:val="top"/>
          </w:tcPr>
          <w:p>
            <w:pPr>
              <w:spacing w:after="0"/>
            </w:pPr>
            <w:r>
              <w:rPr>
                <w:rFonts w:ascii="Aptos" w:hAnsi="Aptos" w:eastAsia="宋体"/>
                <w:sz w:val="18"/>
              </w:rPr>
            </w:r>
            <w:r>
              <w:rPr>
                <w:rFonts w:ascii="Aptos" w:hAnsi="Aptos" w:eastAsia="宋体"/>
                <w:b w:val="0"/>
                <w:sz w:val="18"/>
              </w:rPr>
              <w:t>OOD/Novelty</w:t>
            </w:r>
          </w:p>
        </w:tc>
        <w:tc>
          <w:tcPr>
            <w:tcW w:type="dxa" w:w="4649"/>
            <w:vAlign w:val="top"/>
          </w:tcPr>
          <w:p>
            <w:pPr>
              <w:spacing w:after="0"/>
            </w:pPr>
            <w:r>
              <w:rPr>
                <w:rFonts w:ascii="Aptos" w:hAnsi="Aptos" w:eastAsia="宋体"/>
                <w:sz w:val="18"/>
              </w:rPr>
            </w:r>
            <w:r>
              <w:rPr>
                <w:rFonts w:ascii="Aptos" w:hAnsi="Aptos" w:eastAsia="宋体"/>
                <w:b w:val="0"/>
                <w:sz w:val="18"/>
              </w:rPr>
              <w:t>测试未知实体/模式安全降级</w:t>
            </w:r>
          </w:p>
        </w:tc>
        <w:tc>
          <w:tcPr>
            <w:tcW w:type="dxa" w:w="2268"/>
            <w:vAlign w:val="top"/>
          </w:tcPr>
          <w:p>
            <w:pPr>
              <w:spacing w:after="0"/>
            </w:pPr>
            <w:r>
              <w:rPr>
                <w:rFonts w:ascii="Aptos" w:hAnsi="Aptos" w:eastAsia="宋体"/>
                <w:sz w:val="18"/>
              </w:rPr>
            </w:r>
            <w:r>
              <w:rPr>
                <w:rFonts w:ascii="Aptos" w:hAnsi="Aptos" w:eastAsia="宋体"/>
                <w:b w:val="0"/>
                <w:sz w:val="18"/>
              </w:rPr>
              <w:t>代表性novelty事件</w:t>
            </w:r>
          </w:p>
        </w:tc>
      </w:tr>
      <w:tr>
        <w:tc>
          <w:tcPr>
            <w:tcW w:type="dxa" w:w="2381"/>
            <w:vAlign w:val="top"/>
          </w:tcPr>
          <w:p>
            <w:pPr>
              <w:spacing w:after="0"/>
            </w:pPr>
            <w:r>
              <w:rPr>
                <w:rFonts w:ascii="Aptos" w:hAnsi="Aptos" w:eastAsia="宋体"/>
                <w:sz w:val="18"/>
              </w:rPr>
            </w:r>
            <w:r>
              <w:rPr>
                <w:rFonts w:ascii="Aptos" w:hAnsi="Aptos" w:eastAsia="宋体"/>
                <w:b w:val="0"/>
                <w:sz w:val="18"/>
              </w:rPr>
              <w:t>Multi-change Cascade</w:t>
            </w:r>
          </w:p>
        </w:tc>
        <w:tc>
          <w:tcPr>
            <w:tcW w:type="dxa" w:w="4649"/>
            <w:vAlign w:val="top"/>
          </w:tcPr>
          <w:p>
            <w:pPr>
              <w:spacing w:after="0"/>
            </w:pPr>
            <w:r>
              <w:rPr>
                <w:rFonts w:ascii="Aptos" w:hAnsi="Aptos" w:eastAsia="宋体"/>
                <w:sz w:val="18"/>
              </w:rPr>
            </w:r>
            <w:r>
              <w:rPr>
                <w:rFonts w:ascii="Aptos" w:hAnsi="Aptos" w:eastAsia="宋体"/>
                <w:b w:val="0"/>
                <w:sz w:val="18"/>
              </w:rPr>
              <w:t>测试一次版本升级多处修改及级联影响</w:t>
            </w:r>
          </w:p>
        </w:tc>
        <w:tc>
          <w:tcPr>
            <w:tcW w:type="dxa" w:w="2268"/>
            <w:vAlign w:val="top"/>
          </w:tcPr>
          <w:p>
            <w:pPr>
              <w:spacing w:after="0"/>
            </w:pPr>
            <w:r>
              <w:rPr>
                <w:rFonts w:ascii="Aptos" w:hAnsi="Aptos" w:eastAsia="宋体"/>
                <w:sz w:val="18"/>
              </w:rPr>
            </w:r>
            <w:r>
              <w:rPr>
                <w:rFonts w:ascii="Aptos" w:hAnsi="Aptos" w:eastAsia="宋体"/>
                <w:b w:val="0"/>
                <w:sz w:val="18"/>
              </w:rPr>
              <w:t>3–5组多变化链起步</w:t>
            </w:r>
          </w:p>
        </w:tc>
      </w:tr>
      <w:tr>
        <w:tc>
          <w:tcPr>
            <w:tcW w:type="dxa" w:w="3173"/>
          </w:tcPr>
          <w:p>
            <w:r>
              <w:t>Public Real OWL External Validation</w:t>
            </w:r>
          </w:p>
        </w:tc>
        <w:tc>
          <w:tcPr>
            <w:tcW w:type="dxa" w:w="3173"/>
          </w:tcPr>
          <w:p>
            <w:r>
              <w:t>降低研究者自建任务本体的“toy ontology”质疑</w:t>
            </w:r>
          </w:p>
        </w:tc>
        <w:tc>
          <w:tcPr>
            <w:tcW w:type="dxa" w:w="3173"/>
          </w:tcPr>
          <w:p>
            <w:r>
              <w:t>至少1个公开真实OWL本体；建议30–50个可追溯变化/修复案例</w:t>
            </w:r>
          </w:p>
        </w:tc>
      </w:tr>
    </w:tbl>
    <w:p/>
    <w:p>
      <w:pPr>
        <w:pStyle w:val="Heading2"/>
      </w:pPr>
      <w:r>
        <w:t>8.3 事件字段</w:t>
      </w:r>
    </w:p>
    <w:p>
      <w:pPr>
        <w:ind w:left="340"/>
      </w:pPr>
      <w:r>
        <w:t>event_id</w:t>
        <w:br/>
        <w:t>domain</w:t>
        <w:br/>
        <w:t>source_document</w:t>
        <w:br/>
        <w:t>source_version</w:t>
        <w:br/>
        <w:t>source_date</w:t>
        <w:br/>
        <w:t>target_document</w:t>
        <w:br/>
        <w:t>target_version</w:t>
        <w:br/>
        <w:t>effective_date</w:t>
        <w:br/>
        <w:t>version_chain_id</w:t>
        <w:br/>
        <w:t>group_id</w:t>
        <w:br/>
        <w:t>evidence_window</w:t>
        <w:br/>
        <w:t>evidence_provenance</w:t>
        <w:br/>
        <w:t>semantic_ir</w:t>
        <w:br/>
        <w:t>candidate_set</w:t>
        <w:br/>
        <w:t>candidate_generation_trace</w:t>
        <w:br/>
        <w:t>gold_repair</w:t>
        <w:br/>
        <w:t>ontology_before</w:t>
        <w:br/>
        <w:t>ontology_after</w:t>
        <w:br/>
        <w:t>drift_type</w:t>
        <w:br/>
        <w:t>decision_label</w:t>
        <w:br/>
        <w:t>state_origin</w:t>
        <w:br/>
        <w:t>CQ</w:t>
        <w:br/>
        <w:t>gold_CQ_answer</w:t>
        <w:br/>
        <w:t>split</w:t>
        <w:br/>
      </w:r>
    </w:p>
    <w:p>
      <w:pPr>
        <w:pStyle w:val="Heading2"/>
      </w:pPr>
      <w:r>
        <w:t>8.4 数据真实性与标注要求</w:t>
      </w:r>
    </w:p>
    <w:p>
      <w:pPr>
        <w:ind w:left="340" w:hanging="170"/>
      </w:pPr>
      <w:r>
        <w:t xml:space="preserve">• </w:t>
      </w:r>
      <w:r>
        <w:t>所有规范来自真实、可追溯、版本化的公开文档，不允许用LLM虚构规则。</w:t>
      </w:r>
    </w:p>
    <w:p>
      <w:pPr>
        <w:ind w:left="340" w:hanging="170"/>
      </w:pPr>
      <w:r>
        <w:t xml:space="preserve">• </w:t>
      </w:r>
      <w:r>
        <w:t>保留source title、version、publication/effective date、official URL或identifier、evidence span。</w:t>
      </w:r>
    </w:p>
    <w:p>
      <w:pPr>
        <w:ind w:left="340" w:hanging="170"/>
      </w:pPr>
      <w:r>
        <w:t xml:space="preserve">• </w:t>
      </w:r>
      <w:r>
        <w:t>Human A与Human B独立盲标；存在分歧时由第三方仲裁。</w:t>
      </w:r>
    </w:p>
    <w:p>
      <w:pPr>
        <w:ind w:left="340" w:hanging="170"/>
      </w:pPr>
      <w:r>
        <w:t xml:space="preserve">• </w:t>
      </w:r>
      <w:r>
        <w:t>报告Cohen’s κ或Krippendorff’s α等一致性指标。</w:t>
      </w:r>
    </w:p>
    <w:p>
      <w:pPr>
        <w:ind w:left="340" w:hanging="170"/>
      </w:pPr>
      <w:r>
        <w:t xml:space="preserve">• </w:t>
      </w:r>
      <w:r>
        <w:t>private gold与blind input严格隔离；freeze manifest和hash在实验前固定。</w:t>
      </w:r>
    </w:p>
    <w:p>
      <w:pPr>
        <w:ind w:left="340" w:hanging="170"/>
      </w:pPr>
      <w:r>
        <w:t xml:space="preserve">• </w:t>
      </w:r>
      <w:r>
        <w:t>API超时、JSON解析失败、网络异常必须与语义决策错误分开统计。</w:t>
      </w:r>
    </w:p>
    <w:p>
      <w:pPr/>
      <w:r>
        <w:t>• 数据切分以source_document、document family和version_chain为group单位；同一来源链、同一规则的数字替换、paraphrase和entity-renaming变体必须处于同一split，禁止跨Train/Dev/Test泄漏。正式CI除event-level配对结果外，补充按source/chain聚类的bootstrap或分层稳健性分析。</w:t>
      </w:r>
    </w:p>
    <w:p>
      <w:pPr>
        <w:pStyle w:val="Heading2"/>
      </w:pPr>
      <w:r>
        <w:rPr>
          <w:rFonts w:ascii="Aptos" w:hAnsi="Aptos" w:eastAsia="黑体"/>
          <w:b w:val="0"/>
          <w:i w:val="0"/>
          <w:sz w:val="21"/>
        </w:rPr>
        <w:t>8.5 任务本体的外部效度与规模透明度</w:t>
      </w:r>
    </w:p>
    <w:p>
      <w:r>
        <w:rPr>
          <w:rFonts w:ascii="Aptos" w:hAnsi="Aptos" w:eastAsia="宋体"/>
          <w:b w:val="0"/>
          <w:i w:val="0"/>
          <w:sz w:val="21"/>
        </w:rPr>
        <w:t>研究者构建的任务本体不得描述为“真实生产级本体”。每个领域必须公开本体规模与结构统计，包括classes、object/data properties、axioms、individuals、DL expressivity、OWL profile、层级深度、branching与restriction数量，并公开构建指南和专家参与方式。</w:t>
      </w:r>
    </w:p>
    <w:p>
      <w:r>
        <w:rPr>
          <w:rFonts w:ascii="Aptos" w:hAnsi="Aptos" w:eastAsia="宋体"/>
          <w:b w:val="0"/>
          <w:i w:val="0"/>
          <w:sz w:val="21"/>
        </w:rPr>
        <w:t>除三个规范驱动任务本体外，至少选择一个许可清晰、公开发布的真实OWL本体作为external-validation subset。该子集不要求达到213事件规模，但必须使用真实本体结构和可追溯变化，独立报告结果。</w:t>
      </w:r>
    </w:p>
    <w:p>
      <w:r>
        <w:rPr>
          <w:rFonts w:ascii="Aptos" w:hAnsi="Aptos" w:eastAsia="宋体"/>
          <w:b w:val="0"/>
          <w:i w:val="0"/>
          <w:sz w:val="21"/>
        </w:rPr>
        <w:t>贡献定位保持为“规范驱动的本体演化与修复”，而不是“大规模生产本体自动修复”。</w:t>
      </w:r>
    </w:p>
    <w:p>
      <w:pPr>
        <w:pStyle w:val="Heading2"/>
      </w:pPr>
      <w:r>
        <w:t>8.6 RFC 264→213 Data Lineage and Construct Audit</w:t>
      </w:r>
    </w:p>
    <w:p>
      <w:pPr/>
      <w:r>
        <w:t>必须建立逐事件dataset_lineage：legacy_event_id、frozen_event_id、status(retained/transformed/excluded)、change_type、exclusion_reason、decision_date、performance_seen_before_decision、old/new gold hash与reviewer。51个差额必须逐项可解释，不得用笼统质量原因代替。</w:t>
      </w:r>
    </w:p>
    <w:p>
      <w:pPr/>
      <w:r>
        <w:t>若排除发生在查看模型结果之前，披露预定义标准与时间线；若发生在错误分析之后，则264应视为开发/历史数据，213作为新版本重新冻结并完整重跑，必要时另建未触碰测试集。264与213结果不得在同一主表中直接比较。</w:t>
      </w:r>
    </w:p>
    <w:p>
      <w:pPr/>
      <w:r>
        <w:t>在任何Γ实现前，对213个Gold Repair进行operation、axiom_type、前置条件模式和目标唯一性审计。按覆盖率选择3–5个MVP构造，冻结supported-fragment manifest，并报告每个构造的事件数、覆盖率与未覆盖原因。</w:t>
      </w:r>
    </w:p>
    <w:p>
      <w:pPr>
        <w:pStyle w:val="Heading1"/>
      </w:pPr>
      <w:r>
        <w:t>9. 最终实验矩阵</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737"/>
            <w:shd w:fill="D9EAF7"/>
            <w:vAlign w:val="center"/>
          </w:tcPr>
          <w:p>
            <w:pPr>
              <w:spacing w:after="0"/>
            </w:pPr>
            <w:r>
              <w:rPr>
                <w:rFonts w:ascii="Aptos" w:hAnsi="Aptos" w:eastAsia="宋体"/>
                <w:sz w:val="18"/>
              </w:rPr>
            </w:r>
            <w:r>
              <w:rPr>
                <w:rFonts w:ascii="Aptos" w:hAnsi="Aptos" w:eastAsia="宋体"/>
                <w:b/>
                <w:sz w:val="18"/>
              </w:rPr>
              <w:t>编号</w:t>
            </w:r>
          </w:p>
        </w:tc>
        <w:tc>
          <w:tcPr>
            <w:tcW w:type="dxa" w:w="2835"/>
            <w:shd w:fill="D9EAF7"/>
            <w:vAlign w:val="center"/>
          </w:tcPr>
          <w:p>
            <w:pPr>
              <w:spacing w:after="0"/>
            </w:pPr>
            <w:r>
              <w:rPr>
                <w:rFonts w:ascii="Aptos" w:hAnsi="Aptos" w:eastAsia="宋体"/>
                <w:sz w:val="18"/>
              </w:rPr>
            </w:r>
            <w:r>
              <w:rPr>
                <w:rFonts w:ascii="Aptos" w:hAnsi="Aptos" w:eastAsia="宋体"/>
                <w:b/>
                <w:sz w:val="18"/>
              </w:rPr>
              <w:t>实验</w:t>
            </w:r>
          </w:p>
        </w:tc>
        <w:tc>
          <w:tcPr>
            <w:tcW w:type="dxa" w:w="5102"/>
            <w:shd w:fill="D9EAF7"/>
            <w:vAlign w:val="center"/>
          </w:tcPr>
          <w:p>
            <w:pPr>
              <w:spacing w:after="0"/>
            </w:pPr>
            <w:r>
              <w:rPr>
                <w:rFonts w:ascii="Aptos" w:hAnsi="Aptos" w:eastAsia="宋体"/>
                <w:sz w:val="18"/>
              </w:rPr>
            </w:r>
            <w:r>
              <w:rPr>
                <w:rFonts w:ascii="Aptos" w:hAnsi="Aptos" w:eastAsia="宋体"/>
                <w:b/>
                <w:sz w:val="18"/>
              </w:rPr>
              <w:t>核心问题</w:t>
            </w:r>
          </w:p>
        </w:tc>
        <w:tc>
          <w:tcPr>
            <w:tcW w:type="dxa" w:w="1134"/>
            <w:shd w:fill="D9EAF7"/>
            <w:vAlign w:val="center"/>
          </w:tcPr>
          <w:p>
            <w:pPr>
              <w:spacing w:after="0"/>
            </w:pPr>
            <w:r>
              <w:rPr>
                <w:rFonts w:ascii="Aptos" w:hAnsi="Aptos" w:eastAsia="宋体"/>
                <w:sz w:val="18"/>
              </w:rPr>
            </w:r>
            <w:r>
              <w:rPr>
                <w:rFonts w:ascii="Aptos" w:hAnsi="Aptos" w:eastAsia="宋体"/>
                <w:b/>
                <w:sz w:val="18"/>
              </w:rPr>
              <w:t>优先级</w:t>
            </w:r>
          </w:p>
        </w:tc>
      </w:tr>
      <w:tr>
        <w:tc>
          <w:tcPr>
            <w:tcW w:type="dxa" w:w="2379"/>
            <w:vAlign w:val="center"/>
            <w:tcMar>
              <w:top w:w="80" w:type="dxa"/>
              <w:left w:w="80" w:type="dxa"/>
              <w:bottom w:w="80" w:type="dxa"/>
              <w:right w:w="80" w:type="dxa"/>
            </w:tcMar>
          </w:tcPr>
          <w:p>
            <w:r>
              <w:t>E0</w:t>
            </w:r>
          </w:p>
        </w:tc>
        <w:tc>
          <w:tcPr>
            <w:tcW w:type="dxa" w:w="2379"/>
            <w:vAlign w:val="center"/>
            <w:tcMar>
              <w:top w:w="80" w:type="dxa"/>
              <w:left w:w="80" w:type="dxa"/>
              <w:bottom w:w="80" w:type="dxa"/>
              <w:right w:w="80" w:type="dxa"/>
            </w:tcMar>
          </w:tcPr>
          <w:p>
            <w:r>
              <w:t>Deterministic Γ Gold-IR Evaluation</w:t>
            </w:r>
          </w:p>
        </w:tc>
        <w:tc>
          <w:tcPr>
            <w:tcW w:type="dxa" w:w="2379"/>
            <w:vAlign w:val="center"/>
            <w:tcMar>
              <w:top w:w="80" w:type="dxa"/>
              <w:left w:w="80" w:type="dxa"/>
              <w:bottom w:w="80" w:type="dxa"/>
              <w:right w:w="80" w:type="dxa"/>
            </w:tcMar>
          </w:tcPr>
          <w:p>
            <w:r>
              <w:t>Γ是否确定、失败原子化并正确实现支持构造</w:t>
            </w:r>
          </w:p>
        </w:tc>
        <w:tc>
          <w:tcPr>
            <w:tcW w:type="dxa" w:w="2379"/>
            <w:vAlign w:val="center"/>
            <w:tcMar>
              <w:top w:w="80" w:type="dxa"/>
              <w:left w:w="80" w:type="dxa"/>
              <w:bottom w:w="80" w:type="dxa"/>
              <w:right w:w="80" w:type="dxa"/>
            </w:tcMar>
          </w:tcPr>
          <w:p>
            <w:r>
              <w:t>P0（首要技术门槛）</w:t>
            </w:r>
          </w:p>
        </w:tc>
      </w:tr>
      <w:tr>
        <w:tc>
          <w:tcPr>
            <w:tcW w:type="dxa" w:w="737"/>
            <w:vAlign w:val="top"/>
          </w:tcPr>
          <w:p>
            <w:pPr>
              <w:spacing w:after="0"/>
            </w:pPr>
            <w:r>
              <w:rPr>
                <w:rFonts w:ascii="Aptos" w:hAnsi="Aptos" w:eastAsia="宋体"/>
                <w:sz w:val="18"/>
              </w:rPr>
            </w:r>
            <w:r>
              <w:rPr>
                <w:rFonts w:ascii="Aptos" w:hAnsi="Aptos" w:eastAsia="宋体"/>
                <w:b w:val="0"/>
                <w:sz w:val="18"/>
              </w:rPr>
              <w:t>E1</w:t>
            </w:r>
          </w:p>
        </w:tc>
        <w:tc>
          <w:tcPr>
            <w:tcW w:type="dxa" w:w="2835"/>
            <w:vAlign w:val="center"/>
          </w:tcPr>
          <w:p>
            <w:pPr>
              <w:spacing w:after="0"/>
            </w:pPr>
            <w:r>
              <w:rPr>
                <w:rFonts w:ascii="Aptos" w:hAnsi="Aptos" w:eastAsia="宋体"/>
                <w:sz w:val="18"/>
              </w:rPr>
              <w:t>RFC-213 Confirmatory Main Evaluation</w:t>
            </w:r>
          </w:p>
        </w:tc>
        <w:tc>
          <w:tcPr>
            <w:tcW w:type="dxa" w:w="5102"/>
            <w:vAlign w:val="center"/>
          </w:tcPr>
          <w:p>
            <w:pPr>
              <w:spacing w:after="0"/>
            </w:pPr>
            <w:r>
              <w:rPr>
                <w:rFonts w:ascii="Aptos" w:hAnsi="Aptos" w:eastAsia="宋体"/>
                <w:sz w:val="18"/>
              </w:rPr>
              <w:t>在冻结RFC核心上端到端效果是否成立</w:t>
            </w:r>
          </w:p>
        </w:tc>
        <w:tc>
          <w:tcPr>
            <w:tcW w:type="dxa" w:w="1134"/>
            <w:vAlign w:val="center"/>
          </w:tcPr>
          <w:p>
            <w:r>
              <w:t>P0（Γ通过后执行）</w:t>
            </w:r>
          </w:p>
        </w:tc>
      </w:tr>
      <w:tr>
        <w:tc>
          <w:tcPr>
            <w:tcW w:type="dxa" w:w="737"/>
            <w:vAlign w:val="top"/>
          </w:tcPr>
          <w:p>
            <w:pPr>
              <w:spacing w:after="0"/>
            </w:pPr>
            <w:r>
              <w:rPr>
                <w:rFonts w:ascii="Aptos" w:hAnsi="Aptos" w:eastAsia="宋体"/>
                <w:sz w:val="18"/>
              </w:rPr>
            </w:r>
            <w:r>
              <w:rPr>
                <w:rFonts w:ascii="Aptos" w:hAnsi="Aptos" w:eastAsia="宋体"/>
                <w:b w:val="0"/>
                <w:sz w:val="18"/>
              </w:rPr>
              <w:t>E2</w:t>
            </w:r>
          </w:p>
        </w:tc>
        <w:tc>
          <w:tcPr>
            <w:tcW w:type="dxa" w:w="2835"/>
            <w:vAlign w:val="top"/>
          </w:tcPr>
          <w:p>
            <w:pPr>
              <w:spacing w:after="0"/>
            </w:pPr>
            <w:r>
              <w:rPr>
                <w:rFonts w:ascii="Aptos" w:hAnsi="Aptos" w:eastAsia="宋体"/>
                <w:sz w:val="18"/>
              </w:rPr>
            </w:r>
            <w:r>
              <w:rPr>
                <w:rFonts w:ascii="Aptos" w:hAnsi="Aptos" w:eastAsia="宋体"/>
                <w:b w:val="0"/>
                <w:sz w:val="18"/>
              </w:rPr>
              <w:t>Strong Compute-Matched Baselines</w:t>
            </w:r>
          </w:p>
        </w:tc>
        <w:tc>
          <w:tcPr>
            <w:tcW w:type="dxa" w:w="5102"/>
            <w:vAlign w:val="top"/>
          </w:tcPr>
          <w:p>
            <w:pPr>
              <w:spacing w:after="0"/>
            </w:pPr>
            <w:r>
              <w:rPr>
                <w:rFonts w:ascii="Aptos" w:hAnsi="Aptos" w:eastAsia="宋体"/>
                <w:sz w:val="18"/>
              </w:rPr>
            </w:r>
            <w:r>
              <w:rPr>
                <w:rFonts w:ascii="Aptos" w:hAnsi="Aptos" w:eastAsia="宋体"/>
                <w:b w:val="0"/>
                <w:sz w:val="18"/>
              </w:rPr>
              <w:t>优势是否来自架构而不是更多推理预算</w:t>
            </w:r>
          </w:p>
        </w:tc>
        <w:tc>
          <w:tcPr>
            <w:tcW w:type="dxa" w:w="1134"/>
            <w:vAlign w:val="top"/>
          </w:tcPr>
          <w:p>
            <w:r>
              <w:t>P0（无此不投）</w:t>
            </w:r>
          </w:p>
        </w:tc>
      </w:tr>
      <w:tr>
        <w:tc>
          <w:tcPr>
            <w:tcW w:type="dxa" w:w="737"/>
            <w:vAlign w:val="top"/>
          </w:tcPr>
          <w:p>
            <w:pPr>
              <w:spacing w:after="0"/>
            </w:pPr>
            <w:r>
              <w:rPr>
                <w:rFonts w:ascii="Aptos" w:hAnsi="Aptos" w:eastAsia="宋体"/>
                <w:sz w:val="18"/>
              </w:rPr>
            </w:r>
            <w:r>
              <w:rPr>
                <w:rFonts w:ascii="Aptos" w:hAnsi="Aptos" w:eastAsia="宋体"/>
                <w:b w:val="0"/>
                <w:sz w:val="18"/>
              </w:rPr>
              <w:t>E3</w:t>
            </w:r>
          </w:p>
        </w:tc>
        <w:tc>
          <w:tcPr>
            <w:tcW w:type="dxa" w:w="2835"/>
            <w:vAlign w:val="top"/>
          </w:tcPr>
          <w:p>
            <w:pPr>
              <w:spacing w:after="0"/>
            </w:pPr>
            <w:r>
              <w:rPr>
                <w:rFonts w:ascii="Aptos" w:hAnsi="Aptos" w:eastAsia="宋体"/>
                <w:sz w:val="18"/>
              </w:rPr>
            </w:r>
            <w:r>
              <w:rPr>
                <w:rFonts w:ascii="Aptos" w:hAnsi="Aptos" w:eastAsia="宋体"/>
                <w:b w:val="0"/>
                <w:sz w:val="18"/>
              </w:rPr>
              <w:t>Factorial Ablation</w:t>
            </w:r>
          </w:p>
        </w:tc>
        <w:tc>
          <w:tcPr>
            <w:tcW w:type="dxa" w:w="5102"/>
            <w:vAlign w:val="top"/>
          </w:tcPr>
          <w:p>
            <w:pPr>
              <w:spacing w:after="0"/>
            </w:pPr>
            <w:r>
              <w:rPr>
                <w:rFonts w:ascii="Aptos" w:hAnsi="Aptos" w:eastAsia="宋体"/>
                <w:sz w:val="18"/>
              </w:rPr>
            </w:r>
            <w:r>
              <w:rPr>
                <w:rFonts w:ascii="Aptos" w:hAnsi="Aptos" w:eastAsia="宋体"/>
                <w:b w:val="0"/>
                <w:sz w:val="18"/>
              </w:rPr>
              <w:t>模块贡献与交互是否清楚</w:t>
            </w:r>
          </w:p>
        </w:tc>
        <w:tc>
          <w:tcPr>
            <w:tcW w:type="dxa" w:w="1134"/>
            <w:vAlign w:val="top"/>
          </w:tcPr>
          <w:p>
            <w:r>
              <w:t>P0（核心消融）</w:t>
            </w:r>
          </w:p>
        </w:tc>
      </w:tr>
      <w:tr>
        <w:tc>
          <w:tcPr>
            <w:tcW w:type="dxa" w:w="737"/>
            <w:vAlign w:val="top"/>
          </w:tcPr>
          <w:p>
            <w:pPr>
              <w:spacing w:after="0"/>
            </w:pPr>
            <w:r>
              <w:rPr>
                <w:rFonts w:ascii="Aptos" w:hAnsi="Aptos" w:eastAsia="宋体"/>
                <w:sz w:val="18"/>
              </w:rPr>
            </w:r>
            <w:r>
              <w:rPr>
                <w:rFonts w:ascii="Aptos" w:hAnsi="Aptos" w:eastAsia="宋体"/>
                <w:b w:val="0"/>
                <w:sz w:val="18"/>
              </w:rPr>
              <w:t>E4</w:t>
            </w:r>
          </w:p>
        </w:tc>
        <w:tc>
          <w:tcPr>
            <w:tcW w:type="dxa" w:w="2835"/>
            <w:vAlign w:val="top"/>
          </w:tcPr>
          <w:p>
            <w:pPr>
              <w:spacing w:after="0"/>
            </w:pPr>
            <w:r>
              <w:rPr>
                <w:rFonts w:ascii="Aptos" w:hAnsi="Aptos" w:eastAsia="宋体"/>
                <w:sz w:val="18"/>
              </w:rPr>
            </w:r>
            <w:r>
              <w:rPr>
                <w:rFonts w:ascii="Aptos" w:hAnsi="Aptos" w:eastAsia="宋体"/>
                <w:b w:val="0"/>
                <w:sz w:val="18"/>
              </w:rPr>
              <w:t>Longitudinal Evolution</w:t>
            </w:r>
          </w:p>
        </w:tc>
        <w:tc>
          <w:tcPr>
            <w:tcW w:type="dxa" w:w="5102"/>
            <w:vAlign w:val="top"/>
          </w:tcPr>
          <w:p>
            <w:pPr>
              <w:spacing w:after="0"/>
            </w:pPr>
            <w:r>
              <w:rPr>
                <w:rFonts w:ascii="Aptos" w:hAnsi="Aptos" w:eastAsia="宋体"/>
                <w:sz w:val="18"/>
              </w:rPr>
            </w:r>
            <w:r>
              <w:rPr>
                <w:rFonts w:ascii="Aptos" w:hAnsi="Aptos" w:eastAsia="宋体"/>
                <w:b w:val="0"/>
                <w:sz w:val="18"/>
              </w:rPr>
              <w:t>是否真正支持连续版本演化</w:t>
            </w:r>
          </w:p>
        </w:tc>
        <w:tc>
          <w:tcPr>
            <w:tcW w:type="dxa" w:w="1134"/>
            <w:vAlign w:val="top"/>
          </w:tcPr>
          <w:p>
            <w:r>
              <w:t>P0（至少一套真实纵向）</w:t>
            </w:r>
          </w:p>
        </w:tc>
      </w:tr>
      <w:tr>
        <w:tc>
          <w:tcPr>
            <w:tcW w:type="dxa" w:w="737"/>
            <w:vAlign w:val="top"/>
          </w:tcPr>
          <w:p>
            <w:pPr>
              <w:spacing w:after="0"/>
            </w:pPr>
            <w:r>
              <w:rPr>
                <w:rFonts w:ascii="Aptos" w:hAnsi="Aptos" w:eastAsia="宋体"/>
                <w:sz w:val="18"/>
              </w:rPr>
            </w:r>
            <w:r>
              <w:rPr>
                <w:rFonts w:ascii="Aptos" w:hAnsi="Aptos" w:eastAsia="宋体"/>
                <w:b w:val="0"/>
                <w:sz w:val="18"/>
              </w:rPr>
              <w:t>E5</w:t>
            </w:r>
          </w:p>
        </w:tc>
        <w:tc>
          <w:tcPr>
            <w:tcW w:type="dxa" w:w="2835"/>
            <w:vAlign w:val="top"/>
          </w:tcPr>
          <w:p>
            <w:pPr>
              <w:spacing w:after="0"/>
            </w:pPr>
            <w:r>
              <w:rPr>
                <w:rFonts w:ascii="Aptos" w:hAnsi="Aptos" w:eastAsia="宋体"/>
                <w:sz w:val="18"/>
              </w:rPr>
            </w:r>
            <w:r>
              <w:rPr>
                <w:rFonts w:ascii="Aptos" w:hAnsi="Aptos" w:eastAsia="宋体"/>
                <w:b w:val="0"/>
                <w:sz w:val="18"/>
              </w:rPr>
              <w:t>CQ Reasoning Recovery</w:t>
            </w:r>
          </w:p>
        </w:tc>
        <w:tc>
          <w:tcPr>
            <w:tcW w:type="dxa" w:w="5102"/>
            <w:vAlign w:val="top"/>
          </w:tcPr>
          <w:p>
            <w:pPr>
              <w:spacing w:after="0"/>
            </w:pPr>
            <w:r>
              <w:rPr>
                <w:rFonts w:ascii="Aptos" w:hAnsi="Aptos" w:eastAsia="宋体"/>
                <w:sz w:val="18"/>
              </w:rPr>
            </w:r>
            <w:r>
              <w:rPr>
                <w:rFonts w:ascii="Aptos" w:hAnsi="Aptos" w:eastAsia="宋体"/>
                <w:b w:val="0"/>
                <w:sz w:val="18"/>
              </w:rPr>
              <w:t>修复是否恢复下游推理</w:t>
            </w:r>
          </w:p>
        </w:tc>
        <w:tc>
          <w:tcPr>
            <w:tcW w:type="dxa" w:w="1134"/>
            <w:vAlign w:val="top"/>
          </w:tcPr>
          <w:p>
            <w:r>
              <w:t>P0（无此不投）</w:t>
            </w:r>
          </w:p>
        </w:tc>
      </w:tr>
      <w:tr>
        <w:tc>
          <w:tcPr>
            <w:tcW w:type="dxa" w:w="737"/>
            <w:vAlign w:val="top"/>
          </w:tcPr>
          <w:p>
            <w:pPr>
              <w:spacing w:after="0"/>
            </w:pPr>
            <w:r>
              <w:rPr>
                <w:rFonts w:ascii="Aptos" w:hAnsi="Aptos" w:eastAsia="宋体"/>
                <w:sz w:val="18"/>
              </w:rPr>
            </w:r>
            <w:r>
              <w:rPr>
                <w:rFonts w:ascii="Aptos" w:hAnsi="Aptos" w:eastAsia="宋体"/>
                <w:b w:val="0"/>
                <w:sz w:val="18"/>
              </w:rPr>
              <w:t>E6</w:t>
            </w:r>
          </w:p>
        </w:tc>
        <w:tc>
          <w:tcPr>
            <w:tcW w:type="dxa" w:w="2835"/>
            <w:vAlign w:val="top"/>
          </w:tcPr>
          <w:p>
            <w:pPr>
              <w:spacing w:after="0"/>
            </w:pPr>
            <w:r>
              <w:rPr>
                <w:rFonts w:ascii="Aptos" w:hAnsi="Aptos" w:eastAsia="宋体"/>
                <w:sz w:val="18"/>
              </w:rPr>
            </w:r>
            <w:r>
              <w:rPr>
                <w:rFonts w:ascii="Aptos" w:hAnsi="Aptos" w:eastAsia="宋体"/>
                <w:b w:val="0"/>
                <w:sz w:val="18"/>
              </w:rPr>
              <w:t>No-Drift False Repair</w:t>
            </w:r>
          </w:p>
        </w:tc>
        <w:tc>
          <w:tcPr>
            <w:tcW w:type="dxa" w:w="5102"/>
            <w:vAlign w:val="top"/>
          </w:tcPr>
          <w:p>
            <w:pPr>
              <w:spacing w:after="0"/>
            </w:pPr>
            <w:r>
              <w:rPr>
                <w:rFonts w:ascii="Aptos" w:hAnsi="Aptos" w:eastAsia="宋体"/>
                <w:sz w:val="18"/>
              </w:rPr>
            </w:r>
            <w:r>
              <w:rPr>
                <w:rFonts w:ascii="Aptos" w:hAnsi="Aptos" w:eastAsia="宋体"/>
                <w:b w:val="0"/>
                <w:sz w:val="18"/>
              </w:rPr>
              <w:t>系统会不会无必要地乱修</w:t>
            </w:r>
          </w:p>
        </w:tc>
        <w:tc>
          <w:tcPr>
            <w:tcW w:type="dxa" w:w="1134"/>
            <w:vAlign w:val="top"/>
          </w:tcPr>
          <w:p>
            <w:r>
              <w:t>P0（无此不投）</w:t>
            </w:r>
          </w:p>
        </w:tc>
      </w:tr>
      <w:tr>
        <w:tc>
          <w:tcPr>
            <w:tcW w:type="dxa" w:w="737"/>
            <w:vAlign w:val="top"/>
          </w:tcPr>
          <w:p>
            <w:pPr>
              <w:spacing w:after="0"/>
            </w:pPr>
            <w:r>
              <w:rPr>
                <w:rFonts w:ascii="Aptos" w:hAnsi="Aptos" w:eastAsia="宋体"/>
                <w:sz w:val="18"/>
              </w:rPr>
            </w:r>
            <w:r>
              <w:rPr>
                <w:rFonts w:ascii="Aptos" w:hAnsi="Aptos" w:eastAsia="宋体"/>
                <w:b w:val="0"/>
                <w:sz w:val="18"/>
              </w:rPr>
              <w:t>E7</w:t>
            </w:r>
          </w:p>
        </w:tc>
        <w:tc>
          <w:tcPr>
            <w:tcW w:type="dxa" w:w="2835"/>
            <w:vAlign w:val="top"/>
          </w:tcPr>
          <w:p>
            <w:pPr>
              <w:spacing w:after="0"/>
            </w:pPr>
            <w:r>
              <w:rPr>
                <w:rFonts w:ascii="Aptos" w:hAnsi="Aptos" w:eastAsia="宋体"/>
                <w:sz w:val="18"/>
              </w:rPr>
            </w:r>
            <w:r>
              <w:rPr>
                <w:rFonts w:ascii="Aptos" w:hAnsi="Aptos" w:eastAsia="宋体"/>
                <w:b w:val="0"/>
                <w:sz w:val="18"/>
              </w:rPr>
              <w:t>T-Box Complex Repair</w:t>
            </w:r>
          </w:p>
        </w:tc>
        <w:tc>
          <w:tcPr>
            <w:tcW w:type="dxa" w:w="5102"/>
            <w:vAlign w:val="top"/>
          </w:tcPr>
          <w:p>
            <w:pPr>
              <w:spacing w:after="0"/>
            </w:pPr>
            <w:r>
              <w:rPr>
                <w:rFonts w:ascii="Aptos" w:hAnsi="Aptos" w:eastAsia="宋体"/>
                <w:sz w:val="18"/>
              </w:rPr>
            </w:r>
            <w:r>
              <w:rPr>
                <w:rFonts w:ascii="Aptos" w:hAnsi="Aptos" w:eastAsia="宋体"/>
                <w:b w:val="0"/>
                <w:sz w:val="18"/>
              </w:rPr>
              <w:t>是否超越简单三元组值替换</w:t>
            </w:r>
          </w:p>
        </w:tc>
        <w:tc>
          <w:tcPr>
            <w:tcW w:type="dxa" w:w="1134"/>
            <w:vAlign w:val="top"/>
          </w:tcPr>
          <w:p>
            <w:r>
              <w:t>P1（一区竞争力）</w:t>
            </w:r>
          </w:p>
        </w:tc>
      </w:tr>
      <w:tr>
        <w:tc>
          <w:tcPr>
            <w:tcW w:type="dxa" w:w="737"/>
            <w:vAlign w:val="top"/>
          </w:tcPr>
          <w:p>
            <w:pPr>
              <w:spacing w:after="0"/>
            </w:pPr>
            <w:r>
              <w:rPr>
                <w:rFonts w:ascii="Aptos" w:hAnsi="Aptos" w:eastAsia="宋体"/>
                <w:sz w:val="18"/>
              </w:rPr>
            </w:r>
            <w:r>
              <w:rPr>
                <w:rFonts w:ascii="Aptos" w:hAnsi="Aptos" w:eastAsia="宋体"/>
                <w:b w:val="0"/>
                <w:sz w:val="18"/>
              </w:rPr>
              <w:t>E8</w:t>
            </w:r>
          </w:p>
        </w:tc>
        <w:tc>
          <w:tcPr>
            <w:tcW w:type="dxa" w:w="2835"/>
            <w:vAlign w:val="top"/>
          </w:tcPr>
          <w:p>
            <w:pPr>
              <w:spacing w:after="0"/>
            </w:pPr>
            <w:r>
              <w:rPr>
                <w:rFonts w:ascii="Aptos" w:hAnsi="Aptos" w:eastAsia="宋体"/>
                <w:sz w:val="18"/>
              </w:rPr>
            </w:r>
            <w:r>
              <w:rPr>
                <w:rFonts w:ascii="Aptos" w:hAnsi="Aptos" w:eastAsia="宋体"/>
                <w:b w:val="0"/>
                <w:sz w:val="18"/>
              </w:rPr>
              <w:t>Evidence Noise &amp; Conflict</w:t>
            </w:r>
          </w:p>
        </w:tc>
        <w:tc>
          <w:tcPr>
            <w:tcW w:type="dxa" w:w="5102"/>
            <w:vAlign w:val="top"/>
          </w:tcPr>
          <w:p>
            <w:pPr>
              <w:spacing w:after="0"/>
            </w:pPr>
            <w:r>
              <w:rPr>
                <w:rFonts w:ascii="Aptos" w:hAnsi="Aptos" w:eastAsia="宋体"/>
                <w:sz w:val="18"/>
              </w:rPr>
            </w:r>
            <w:r>
              <w:rPr>
                <w:rFonts w:ascii="Aptos" w:hAnsi="Aptos" w:eastAsia="宋体"/>
                <w:b w:val="0"/>
                <w:sz w:val="18"/>
              </w:rPr>
              <w:t>证据非完美时是否安全</w:t>
            </w:r>
          </w:p>
        </w:tc>
        <w:tc>
          <w:tcPr>
            <w:tcW w:type="dxa" w:w="1134"/>
            <w:vAlign w:val="top"/>
          </w:tcPr>
          <w:p>
            <w:r>
              <w:t>P1（一区竞争力）</w:t>
            </w:r>
          </w:p>
        </w:tc>
      </w:tr>
      <w:tr>
        <w:tc>
          <w:tcPr>
            <w:tcW w:type="dxa" w:w="737"/>
            <w:vAlign w:val="top"/>
          </w:tcPr>
          <w:p>
            <w:pPr>
              <w:spacing w:after="0"/>
            </w:pPr>
            <w:r>
              <w:rPr>
                <w:rFonts w:ascii="Aptos" w:hAnsi="Aptos" w:eastAsia="宋体"/>
                <w:sz w:val="18"/>
              </w:rPr>
            </w:r>
            <w:r>
              <w:rPr>
                <w:rFonts w:ascii="Aptos" w:hAnsi="Aptos" w:eastAsia="宋体"/>
                <w:b w:val="0"/>
                <w:sz w:val="18"/>
              </w:rPr>
              <w:t>E9</w:t>
            </w:r>
          </w:p>
        </w:tc>
        <w:tc>
          <w:tcPr>
            <w:tcW w:type="dxa" w:w="2835"/>
            <w:vAlign w:val="top"/>
          </w:tcPr>
          <w:p>
            <w:pPr>
              <w:spacing w:after="0"/>
            </w:pPr>
            <w:r>
              <w:rPr>
                <w:rFonts w:ascii="Aptos" w:hAnsi="Aptos" w:eastAsia="宋体"/>
                <w:sz w:val="18"/>
              </w:rPr>
            </w:r>
            <w:r>
              <w:rPr>
                <w:rFonts w:ascii="Aptos" w:hAnsi="Aptos" w:eastAsia="宋体"/>
                <w:b w:val="0"/>
                <w:sz w:val="18"/>
              </w:rPr>
              <w:t>Anti-Memorization / Paraphrase</w:t>
            </w:r>
          </w:p>
        </w:tc>
        <w:tc>
          <w:tcPr>
            <w:tcW w:type="dxa" w:w="5102"/>
            <w:vAlign w:val="top"/>
          </w:tcPr>
          <w:p>
            <w:pPr>
              <w:spacing w:after="0"/>
            </w:pPr>
            <w:r>
              <w:rPr>
                <w:rFonts w:ascii="Aptos" w:hAnsi="Aptos" w:eastAsia="宋体"/>
                <w:sz w:val="18"/>
              </w:rPr>
            </w:r>
            <w:r>
              <w:rPr>
                <w:rFonts w:ascii="Aptos" w:hAnsi="Aptos" w:eastAsia="宋体"/>
                <w:b w:val="0"/>
                <w:sz w:val="18"/>
              </w:rPr>
              <w:t>高准确率是否依赖记忆和词面重合</w:t>
            </w:r>
          </w:p>
        </w:tc>
        <w:tc>
          <w:tcPr>
            <w:tcW w:type="dxa" w:w="1134"/>
            <w:vAlign w:val="top"/>
          </w:tcPr>
          <w:p>
            <w:r>
              <w:t>P1（一区竞争力）</w:t>
            </w:r>
          </w:p>
        </w:tc>
      </w:tr>
      <w:tr>
        <w:tc>
          <w:tcPr>
            <w:tcW w:type="dxa" w:w="737"/>
            <w:vAlign w:val="top"/>
          </w:tcPr>
          <w:p>
            <w:pPr>
              <w:spacing w:after="0"/>
            </w:pPr>
            <w:r>
              <w:rPr>
                <w:rFonts w:ascii="Aptos" w:hAnsi="Aptos" w:eastAsia="宋体"/>
                <w:sz w:val="18"/>
              </w:rPr>
            </w:r>
            <w:r>
              <w:rPr>
                <w:rFonts w:ascii="Aptos" w:hAnsi="Aptos" w:eastAsia="宋体"/>
                <w:b w:val="0"/>
                <w:sz w:val="18"/>
              </w:rPr>
              <w:t>E10</w:t>
            </w:r>
          </w:p>
        </w:tc>
        <w:tc>
          <w:tcPr>
            <w:tcW w:type="dxa" w:w="2835"/>
            <w:vAlign w:val="top"/>
          </w:tcPr>
          <w:p>
            <w:pPr>
              <w:spacing w:after="0"/>
            </w:pPr>
            <w:r>
              <w:rPr>
                <w:rFonts w:ascii="Aptos" w:hAnsi="Aptos" w:eastAsia="宋体"/>
                <w:sz w:val="18"/>
              </w:rPr>
            </w:r>
            <w:r>
              <w:rPr>
                <w:rFonts w:ascii="Aptos" w:hAnsi="Aptos" w:eastAsia="宋体"/>
                <w:b w:val="0"/>
                <w:sz w:val="18"/>
              </w:rPr>
              <w:t>Novelty / OOD Safety</w:t>
            </w:r>
          </w:p>
        </w:tc>
        <w:tc>
          <w:tcPr>
            <w:tcW w:type="dxa" w:w="5102"/>
            <w:vAlign w:val="top"/>
          </w:tcPr>
          <w:p>
            <w:pPr>
              <w:spacing w:after="0"/>
            </w:pPr>
            <w:r>
              <w:rPr>
                <w:rFonts w:ascii="Aptos" w:hAnsi="Aptos" w:eastAsia="宋体"/>
                <w:sz w:val="18"/>
              </w:rPr>
            </w:r>
            <w:r>
              <w:rPr>
                <w:rFonts w:ascii="Aptos" w:hAnsi="Aptos" w:eastAsia="宋体"/>
                <w:b w:val="0"/>
                <w:sz w:val="18"/>
              </w:rPr>
              <w:t>遇到未知实体和模式是否保守降级</w:t>
            </w:r>
          </w:p>
        </w:tc>
        <w:tc>
          <w:tcPr>
            <w:tcW w:type="dxa" w:w="1134"/>
            <w:vAlign w:val="top"/>
          </w:tcPr>
          <w:p>
            <w:r>
              <w:t>P1（一区竞争力）</w:t>
            </w:r>
          </w:p>
        </w:tc>
      </w:tr>
      <w:tr>
        <w:tc>
          <w:tcPr>
            <w:tcW w:type="dxa" w:w="737"/>
            <w:vAlign w:val="top"/>
          </w:tcPr>
          <w:p>
            <w:pPr>
              <w:spacing w:after="0"/>
            </w:pPr>
            <w:r>
              <w:rPr>
                <w:rFonts w:ascii="Aptos" w:hAnsi="Aptos" w:eastAsia="宋体"/>
                <w:sz w:val="18"/>
              </w:rPr>
            </w:r>
            <w:r>
              <w:rPr>
                <w:rFonts w:ascii="Aptos" w:hAnsi="Aptos" w:eastAsia="宋体"/>
                <w:b w:val="0"/>
                <w:sz w:val="18"/>
              </w:rPr>
              <w:t>E11</w:t>
            </w:r>
          </w:p>
        </w:tc>
        <w:tc>
          <w:tcPr>
            <w:tcW w:type="dxa" w:w="2835"/>
            <w:vAlign w:val="top"/>
          </w:tcPr>
          <w:p>
            <w:pPr>
              <w:spacing w:after="0"/>
            </w:pPr>
            <w:r>
              <w:rPr>
                <w:rFonts w:ascii="Aptos" w:hAnsi="Aptos" w:eastAsia="宋体"/>
                <w:sz w:val="18"/>
              </w:rPr>
            </w:r>
            <w:r>
              <w:rPr>
                <w:rFonts w:ascii="Aptos" w:hAnsi="Aptos" w:eastAsia="宋体"/>
                <w:b w:val="0"/>
                <w:sz w:val="18"/>
              </w:rPr>
              <w:t>Incremental Scalability</w:t>
            </w:r>
          </w:p>
        </w:tc>
        <w:tc>
          <w:tcPr>
            <w:tcW w:type="dxa" w:w="5102"/>
            <w:vAlign w:val="top"/>
          </w:tcPr>
          <w:p>
            <w:r>
              <w:rPr>
                <w:rFonts w:ascii="Aptos" w:hAnsi="Aptos" w:eastAsia="宋体"/>
                <w:sz w:val="18"/>
              </w:rPr>
              <w:t>Syntactic-locality局部验证能否在保持结论一致时降低成本</w:t>
            </w:r>
          </w:p>
        </w:tc>
        <w:tc>
          <w:tcPr>
            <w:tcW w:type="dxa" w:w="1134"/>
            <w:vAlign w:val="top"/>
          </w:tcPr>
          <w:p>
            <w:r>
              <w:t>P1（系统增强）</w:t>
            </w:r>
          </w:p>
        </w:tc>
      </w:tr>
      <w:tr>
        <w:tc>
          <w:tcPr>
            <w:tcW w:type="dxa" w:w="737"/>
            <w:vAlign w:val="top"/>
          </w:tcPr>
          <w:p>
            <w:pPr>
              <w:spacing w:after="0"/>
            </w:pPr>
            <w:r>
              <w:rPr>
                <w:rFonts w:ascii="Aptos" w:hAnsi="Aptos" w:eastAsia="宋体"/>
                <w:sz w:val="18"/>
              </w:rPr>
            </w:r>
            <w:r>
              <w:rPr>
                <w:rFonts w:ascii="Aptos" w:hAnsi="Aptos" w:eastAsia="宋体"/>
                <w:b w:val="0"/>
                <w:sz w:val="18"/>
              </w:rPr>
              <w:t>E12</w:t>
            </w:r>
          </w:p>
        </w:tc>
        <w:tc>
          <w:tcPr>
            <w:tcW w:type="dxa" w:w="2835"/>
            <w:vAlign w:val="top"/>
          </w:tcPr>
          <w:p>
            <w:pPr>
              <w:spacing w:after="0"/>
            </w:pPr>
            <w:r>
              <w:rPr>
                <w:rFonts w:ascii="Aptos" w:hAnsi="Aptos" w:eastAsia="宋体"/>
                <w:sz w:val="18"/>
              </w:rPr>
            </w:r>
            <w:r>
              <w:rPr>
                <w:rFonts w:ascii="Aptos" w:hAnsi="Aptos" w:eastAsia="宋体"/>
                <w:b w:val="0"/>
                <w:sz w:val="18"/>
              </w:rPr>
              <w:t>Human / Expert Evaluation</w:t>
            </w:r>
          </w:p>
        </w:tc>
        <w:tc>
          <w:tcPr>
            <w:tcW w:type="dxa" w:w="5102"/>
            <w:vAlign w:val="top"/>
          </w:tcPr>
          <w:p>
            <w:pPr>
              <w:spacing w:after="0"/>
            </w:pPr>
            <w:r>
              <w:rPr>
                <w:rFonts w:ascii="Aptos" w:hAnsi="Aptos" w:eastAsia="宋体"/>
                <w:sz w:val="18"/>
              </w:rPr>
            </w:r>
            <w:r>
              <w:rPr>
                <w:rFonts w:ascii="Aptos" w:hAnsi="Aptos" w:eastAsia="宋体"/>
                <w:b w:val="0"/>
                <w:sz w:val="18"/>
              </w:rPr>
              <w:t>标注质量、可用性与人工基线如何</w:t>
            </w:r>
          </w:p>
        </w:tc>
        <w:tc>
          <w:tcPr>
            <w:tcW w:type="dxa" w:w="1134"/>
            <w:vAlign w:val="top"/>
          </w:tcPr>
          <w:p>
            <w:r>
              <w:t>P1（可信度增强）</w:t>
            </w:r>
          </w:p>
        </w:tc>
      </w:tr>
    </w:tbl>
    <w:p/>
    <w:p>
      <w:pPr>
        <w:pStyle w:val="Heading2"/>
      </w:pPr>
      <w:r>
        <w:t>9.0 E0：Gold IR → OWL Compiler Evaluation</w:t>
      </w:r>
    </w:p>
    <w:p>
      <w:pPr/>
      <w:r>
        <w:t>E0使用完整RFC 213 Gold Repair清单统计Construct Coverage；对支持片段同时运行Gold IR→Γ→OWL与Gold IR→Γ→Apply→Reasoner两条验证链。未覆盖事件返回UNSUPPORTED并进入覆盖率分母，不得只在成功案例上计算正确率。</w:t>
      </w:r>
    </w:p>
    <w:p>
      <w:pPr/>
      <w:r>
        <w:t>测试分为AST结构、补丁集合、Reasoner语义与拒绝安全四层。主要指标为Construct Coverage、Compilation Success、Semantic Correctness、Target CQ Recovery、Unaffected-CQ Preservation、Unsafe Compilation、Rejection Safety和重复运行输出一致率。</w:t>
      </w:r>
    </w:p>
    <w:p>
      <w:pPr>
        <w:pStyle w:val="EquationBlock"/>
      </w:pPr>
      <w:r>
        <w:t>UnsafeCompilation = 0;    RejectionSafety = 1.00;    Determinism = 1.00</w:t>
      </w:r>
    </w:p>
    <w:p>
      <w:pPr/>
      <w:r>
        <w:t>MVP硬门槛：所有支持构造的正例、边界例与非法例单元测试通过；重复编译产生相同Canonical OWL AST/patch；任何非COMPILED状态均为空补丁且输入本体字节与语义状态不变。通过E0后才允许把Γ接入上游模型和SES主实验。</w:t>
      </w:r>
    </w:p>
    <w:p>
      <w:pPr>
        <w:pStyle w:val="Heading2"/>
      </w:pPr>
      <w:r>
        <w:rPr>
          <w:rFonts w:ascii="Aptos" w:hAnsi="Aptos" w:eastAsia="黑体"/>
          <w:b w:val="0"/>
          <w:i w:val="0"/>
          <w:sz w:val="21"/>
        </w:rPr>
        <w:t>9.1 Statistical Design Freeze：Strict Event Success主终点与Power Analysis</w:t>
      </w:r>
    </w:p>
    <w:p>
      <w:r>
        <w:rPr>
          <w:rFonts w:ascii="Aptos" w:hAnsi="Aptos" w:eastAsia="宋体"/>
          <w:b w:val="0"/>
          <w:i w:val="0"/>
          <w:sz w:val="21"/>
        </w:rPr>
        <w:t>E0通过后，端到端实验仍以Strict Event Success（SES）为唯一主终点。SES不单独承担选择性安全解释：决策阈值只能在Dev上以WRR上限和最低Coverage约束选择并冻结，同时报告Risk–Coverage曲线、AURC及失败类型分解。</w:t>
      </w:r>
    </w:p>
    <w:p>
      <w:pPr>
        <w:pStyle w:val="Heading3"/>
      </w:pPr>
      <w:r>
        <w:rPr>
          <w:rFonts w:ascii="Aptos" w:hAnsi="Aptos" w:eastAsia="黑体"/>
          <w:b w:val="0"/>
          <w:i w:val="0"/>
          <w:sz w:val="21"/>
        </w:rPr>
        <w:t>Primary endpoint</w:t>
      </w:r>
    </w:p>
    <w:p>
      <w:r>
        <w:rPr>
          <w:rFonts w:ascii="Aptos" w:hAnsi="Aptos" w:eastAsia="宋体"/>
          <w:b w:val="0"/>
          <w:i w:val="0"/>
          <w:sz w:val="21"/>
        </w:rPr>
        <w:t>Primary endpoint = Strict Event Success。对Drift事件，只有语义正确、形式有效、无未声明编辑且预注册CQ通过的补丁记为成功；对No-Drift事件，只有NO_CHANGE记为成功；ABSTAIN在主终点中记为非成功。WRR、Coverage、Selective Risk、False Repair Rate、CQ Recovery和成本均为预注册secondary endpoints。</w:t>
      </w:r>
    </w:p>
    <w:p>
      <w:pPr>
        <w:pStyle w:val="EquationBlock"/>
      </w:pPr>
      <w:r>
        <w:t>SES(e)=1 iff [Drift(e) ∧ CorrectVerifiedPatch(e)] ∨ [NoDrift(e) ∧ Output(e)=NO_CHANGE]</w:t>
      </w:r>
    </w:p>
    <w:p>
      <w:pPr>
        <w:pStyle w:val="EquationBlock"/>
      </w:pPr>
      <w:r>
        <w:t>Output(e)=ABSTAIN ⇒ SES(e)=0</w:t>
      </w:r>
    </w:p>
    <w:p>
      <w:pPr>
        <w:pStyle w:val="EquationBlock"/>
      </w:pPr>
      <w:r>
        <w:t>τ* = argmax SES_dev(τ),  s.t. WRR_dev(τ)≤r_max ∧ Coverage_dev(τ)≥c_min</w:t>
      </w:r>
    </w:p>
    <w:p>
      <w:pPr/>
      <w:r>
        <w:t>r_max与c_min依据开发集、应用风险和资源预算预注册，不得由Test结果反推。SES=0必须分解为Wrong Repair、Unsafe Repair、Necessary/Unnecessary ABSTAIN、NO_CHANGE Error与Infrastructure Failure。</w:t>
      </w:r>
    </w:p>
    <w:p>
      <w:pPr>
        <w:pStyle w:val="Heading3"/>
      </w:pPr>
      <w:r>
        <w:rPr>
          <w:rFonts w:ascii="Aptos" w:hAnsi="Aptos" w:eastAsia="黑体"/>
          <w:b w:val="0"/>
          <w:i w:val="0"/>
          <w:sz w:val="21"/>
        </w:rPr>
        <w:t>Paired design</w:t>
      </w:r>
    </w:p>
    <w:p>
      <w:r>
        <w:rPr>
          <w:rFonts w:ascii="Aptos" w:hAnsi="Aptos" w:eastAsia="宋体"/>
          <w:b w:val="0"/>
          <w:i w:val="0"/>
          <w:sz w:val="21"/>
        </w:rPr>
        <w:t>同一event由ECR与最强baseline共同评估，因此SES主比较采用配对设计。Power analysis基于discordant pairs（baseline失败/ECR成功与baseline成功/ECR失败），而不是把两组比例当作独立样本。正式推断采用McNemar-style paired comparison并报告配对效应量与置信区间；同时按source_document/version_chain提供聚类bootstrap或分层稳健性结果，避免把同源事件误当完全独立。</w:t>
      </w:r>
    </w:p>
    <w:p>
      <w:pPr>
        <w:pStyle w:val="Heading3"/>
      </w:pPr>
      <w:r>
        <w:rPr>
          <w:rFonts w:ascii="Aptos" w:hAnsi="Aptos" w:eastAsia="黑体"/>
          <w:b w:val="0"/>
          <w:i w:val="0"/>
          <w:sz w:val="21"/>
        </w:rPr>
        <w:t>MDE / Power</w:t>
      </w:r>
    </w:p>
    <w:p>
      <w:r>
        <w:rPr>
          <w:rFonts w:ascii="Aptos" w:hAnsi="Aptos" w:eastAsia="宋体"/>
          <w:b w:val="0"/>
          <w:i w:val="0"/>
          <w:sz w:val="21"/>
        </w:rPr>
        <w:t>首先在RFC 213确认性核心上计算discordant pairs、MDE、目标power（原则上≥0.80）与95%置信区间。保险和医疗各60–100个试点用于估计效应、聚类与标注成本，再决定最终样本量；未达到功效的外部领域只能承载exploratory external-validity结论，不得为了凑足639而复制模板或把派生变体当独立事件。</w:t>
      </w:r>
    </w:p>
    <w:p>
      <w:r>
        <w:rPr>
          <w:rFonts w:ascii="Aptos" w:hAnsi="Aptos" w:eastAsia="宋体"/>
          <w:b w:val="0"/>
          <w:i w:val="0"/>
          <w:sz w:val="21"/>
        </w:rPr>
        <w:t>统计计划至少冻结：SES定义、effect-size target、α、power target、paired test、CI方法、source/chain聚类策略、领域分层分析、multiple-comparison policy和稀疏失败事件处理。</w:t>
      </w:r>
    </w:p>
    <w:p>
      <w:pPr>
        <w:pStyle w:val="Heading2"/>
      </w:pPr>
      <w:r>
        <w:t>9.2 强Baseline冻结清单</w:t>
      </w:r>
    </w:p>
    <w:p>
      <w:pPr>
        <w:ind w:left="340" w:hanging="170"/>
      </w:pPr>
      <w:r>
        <w:t xml:space="preserve">• </w:t>
      </w:r>
      <w:r>
        <w:t>B1 Symbolic-only</w:t>
      </w:r>
    </w:p>
    <w:p>
      <w:pPr>
        <w:ind w:left="340" w:hanging="170"/>
      </w:pPr>
      <w:r>
        <w:t xml:space="preserve">• </w:t>
      </w:r>
      <w:r>
        <w:t>B2 Retrieval/Embedding + Symbolic Ranking</w:t>
      </w:r>
    </w:p>
    <w:p>
      <w:pPr>
        <w:ind w:left="340" w:hanging="170"/>
      </w:pPr>
      <w:r>
        <w:t xml:space="preserve">• </w:t>
      </w:r>
      <w:r>
        <w:t>B3 Direct LLM</w:t>
      </w:r>
    </w:p>
    <w:p>
      <w:pPr>
        <w:ind w:left="340" w:hanging="170"/>
      </w:pPr>
      <w:r>
        <w:t xml:space="preserve">• </w:t>
      </w:r>
      <w:r>
        <w:t>B4 Direct LLM + Self-Consistency / Majority Voting</w:t>
      </w:r>
    </w:p>
    <w:p>
      <w:pPr>
        <w:ind w:left="340" w:hanging="170"/>
      </w:pPr>
      <w:r>
        <w:t xml:space="preserve">• </w:t>
      </w:r>
      <w:r>
        <w:t>B5 RAG + LLM</w:t>
      </w:r>
    </w:p>
    <w:p>
      <w:pPr>
        <w:ind w:left="340" w:hanging="170"/>
      </w:pPr>
      <w:r>
        <w:t xml:space="preserve">• </w:t>
      </w:r>
      <w:r>
        <w:t>B6 End-to-End LLM OWL Repair</w:t>
      </w:r>
    </w:p>
    <w:p>
      <w:pPr>
        <w:ind w:left="340" w:hanging="170"/>
      </w:pPr>
      <w:r>
        <w:t xml:space="preserve">• </w:t>
      </w:r>
      <w:r>
        <w:t>B7 End-to-End LLM + Reasoner Retry</w:t>
      </w:r>
    </w:p>
    <w:p>
      <w:pPr>
        <w:ind w:left="340" w:hanging="170"/>
      </w:pPr>
      <w:r>
        <w:t xml:space="preserve">• </w:t>
      </w:r>
      <w:r>
        <w:t>B8 Semantic IR without symbolic constraints</w:t>
      </w:r>
    </w:p>
    <w:p>
      <w:pPr>
        <w:ind w:left="340" w:hanging="170"/>
      </w:pPr>
      <w:r>
        <w:t xml:space="preserve">• </w:t>
      </w:r>
      <w:r>
        <w:t>B9 ECR-Repair</w:t>
      </w:r>
    </w:p>
    <w:p>
      <w:pPr>
        <w:ind w:left="340" w:hanging="170"/>
      </w:pPr>
      <w:r>
        <w:t xml:space="preserve">• </w:t>
      </w:r>
      <w:r>
        <w:t>B10 ECR-Repair + Symbolically Guided Revision</w:t>
      </w:r>
    </w:p>
    <w:p>
      <w:r>
        <w:t>所有LLM类baseline同时报告calls/event、tokens/event、latency/event、cost/event，并尽量匹配推理预算。公平性结论不只依赖Accuracy，还必须联合报告Wrong Repair Rate、Selective Risk、Coverage、False Repair Rate和Relative Error Reduction，避免将ECR的价值误缩减为少量绝对准确率增益。</w:t>
      </w:r>
    </w:p>
    <w:p>
      <w:pPr>
        <w:pStyle w:val="Heading3"/>
      </w:pPr>
      <w:r>
        <w:t>9.2.1 公平比较的主评价不只看Accuracy</w:t>
      </w:r>
    </w:p>
    <w:p>
      <w:pPr>
        <w:pStyle w:val="EquationBlock"/>
      </w:pPr>
      <w:r>
        <w:t>StrictEventSuccess = SuccessfulEvents / AllEvents</w:t>
      </w:r>
    </w:p>
    <w:p>
      <w:pPr>
        <w:pStyle w:val="EquationBlock"/>
      </w:pPr>
      <w:r>
        <w:t>WRR = WrongRepairs / AllEvents</w:t>
      </w:r>
    </w:p>
    <w:p>
      <w:pPr>
        <w:pStyle w:val="EquationBlock"/>
      </w:pPr>
      <w:r>
        <w:t>SelectiveRisk = ErrorsAmongAnswered / Answered</w:t>
      </w:r>
    </w:p>
    <w:p>
      <w:pPr>
        <w:pStyle w:val="EquationBlock"/>
      </w:pPr>
      <w:r>
        <w:t>Coverage = (REPAIR + NO_CHANGE decisions) / AllEvents</w:t>
      </w:r>
    </w:p>
    <w:p>
      <w:pPr>
        <w:pStyle w:val="EquationBlock"/>
      </w:pPr>
      <w:r>
        <w:t>RelativeErrorReduction = (Err_baseline - Err_ECR) / Err_baseline</w:t>
      </w:r>
    </w:p>
    <w:p>
      <w:r>
        <w:t>如果公平基线准确率显著提高，也不隐藏结果。SES防止系统通过全部ABSTAIN取得虚假的低WRR；ECR的价值必须由“严格事件成功、减少错误修复、把高风险样本转为弃权、保持覆盖率和可审计性”联合证明，而不是依赖基线被刻意做弱。</w:t>
      </w:r>
    </w:p>
    <w:p>
      <w:r>
        <w:t>只有真实实验观察到0个wrong repairs时，才可写“No wrong repairs were observed in the evaluated benchmark”；不得把有限样本中的0次观察错误表述为真实错误率严格等于0。</w:t>
      </w:r>
    </w:p>
    <w:p>
      <w:pPr>
        <w:pStyle w:val="Heading2"/>
      </w:pPr>
      <w:r>
        <w:t>9.3 消融设计</w:t>
      </w:r>
    </w:p>
    <w:p>
      <w:r>
        <w:t>核心开关采用近似正交或factorial设计：</w:t>
      </w:r>
    </w:p>
    <w:p>
      <w:pPr>
        <w:ind w:left="340" w:hanging="170"/>
      </w:pPr>
      <w:r>
        <w:t xml:space="preserve">• </w:t>
      </w:r>
      <w:r>
        <w:t>Candidate Isolation</w:t>
      </w:r>
    </w:p>
    <w:p>
      <w:pPr>
        <w:ind w:left="340" w:hanging="170"/>
      </w:pPr>
      <w:r>
        <w:t xml:space="preserve">• </w:t>
      </w:r>
      <w:r>
        <w:t>Temporal Recovery</w:t>
      </w:r>
    </w:p>
    <w:p>
      <w:pPr>
        <w:ind w:left="340" w:hanging="170"/>
      </w:pPr>
      <w:r>
        <w:t xml:space="preserve">• </w:t>
      </w:r>
      <w:r>
        <w:t>Rule/Exception Constraint</w:t>
      </w:r>
    </w:p>
    <w:p>
      <w:pPr>
        <w:ind w:left="340" w:hanging="170"/>
      </w:pPr>
      <w:r>
        <w:t xml:space="preserve">• </w:t>
      </w:r>
      <w:r>
        <w:t>Scope Constraint</w:t>
      </w:r>
    </w:p>
    <w:p>
      <w:pPr>
        <w:ind w:left="340" w:hanging="170"/>
      </w:pPr>
      <w:r>
        <w:t xml:space="preserve">• </w:t>
      </w:r>
      <w:r>
        <w:t>Formal Verification</w:t>
      </w:r>
    </w:p>
    <w:p>
      <w:pPr>
        <w:ind w:left="340" w:hanging="170"/>
      </w:pPr>
      <w:r>
        <w:t xml:space="preserve">• </w:t>
      </w:r>
      <w:r>
        <w:t>Symbolic Feedback</w:t>
      </w:r>
    </w:p>
    <w:p>
      <w:pPr>
        <w:pStyle w:val="Heading3"/>
      </w:pPr>
      <w:r>
        <w:rPr>
          <w:rFonts w:ascii="Aptos" w:hAnsi="Aptos" w:eastAsia="黑体"/>
          <w:b w:val="0"/>
          <w:i w:val="0"/>
          <w:sz w:val="21"/>
        </w:rPr>
        <w:t>9.3.1 Symbolic Feedback 的预注册保留规则</w:t>
      </w:r>
    </w:p>
    <w:p>
      <w:r>
        <w:rPr>
          <w:rFonts w:ascii="Aptos" w:hAnsi="Aptos" w:eastAsia="宋体"/>
          <w:b w:val="0"/>
          <w:i w:val="0"/>
          <w:sz w:val="21"/>
        </w:rPr>
        <w:t>在线Symbolically Guided Revision是否进入最终方法，必须在Dev阶段根据预注册decision rule决定，禁止在Test结果出现后再选择最终架构。</w:t>
      </w:r>
    </w:p>
    <w:p>
      <w:pPr>
        <w:pStyle w:val="EquationBlock"/>
        <w:jc w:val="center"/>
      </w:pPr>
      <w:r>
        <w:rPr>
          <w:rFonts w:ascii="Cambria Math" w:hAnsi="Cambria Math" w:eastAsia="Cambria Math"/>
          <w:b w:val="0"/>
          <w:i w:val="0"/>
          <w:sz w:val="21"/>
        </w:rPr>
        <w:t>KeepFeedback = 1 iff ΔWRR ≥ δ_r  ∧  CostIncrease ≤ δ_c  ∧  CoverageLoss ≤ δ_cov</w:t>
      </w:r>
    </w:p>
    <w:p>
      <w:r>
        <w:rPr>
          <w:rFonts w:ascii="Aptos" w:hAnsi="Aptos" w:eastAsia="宋体"/>
          <w:b w:val="0"/>
          <w:i w:val="0"/>
          <w:sz w:val="21"/>
        </w:rPr>
        <w:t>δ_r、δ_c、δ_cov的具体阈值只能在开发集与预算约束下预先确定，并随protocol一同冻结。即使最终删除在线feedback，也必须在消融/开发分析中完整报告其结果和成本，不得从研究记录中消失。</w:t>
      </w:r>
    </w:p>
    <w:p>
      <w:pPr>
        <w:pStyle w:val="Heading3"/>
      </w:pPr>
      <w:r>
        <w:rPr>
          <w:rFonts w:ascii="Aptos" w:hAnsi="Aptos" w:eastAsia="黑体"/>
          <w:b w:val="0"/>
          <w:i w:val="0"/>
          <w:sz w:val="21"/>
        </w:rPr>
        <w:t>9.3.2 Candidate-Blind Non-Interference Audit</w:t>
      </w:r>
    </w:p>
    <w:p>
      <w:r>
        <w:rPr>
          <w:rFonts w:ascii="Aptos" w:hAnsi="Aptos" w:eastAsia="宋体"/>
          <w:b w:val="0"/>
          <w:i w:val="0"/>
          <w:sz w:val="21"/>
        </w:rPr>
        <w:t>除最终repair accuracy外，V1.7直接审计Candidate-Blind Task-Time Non-Interference。对同一证据E构造顺序置换、候选池扩大、候选ID重命名和语义相近干扰项替换；每次仅对C执行干预，并固定Retriever输出、模型配置和可控随机性。</w:t>
      </w:r>
    </w:p>
    <w:p>
      <w:pPr>
        <w:pStyle w:val="EquationBlock"/>
        <w:jc w:val="center"/>
      </w:pPr>
      <w:r>
        <w:rPr>
          <w:rFonts w:ascii="Cambria Math" w:hAnsi="Cambria Math" w:eastAsia="Cambria Math"/>
          <w:b w:val="0"/>
          <w:i w:val="0"/>
          <w:sz w:val="21"/>
        </w:rPr>
        <w:t>IRStability = f(ExactIRMatch, FieldAgreement_T/S/R/X/M, StructuredDistance)</w:t>
      </w:r>
    </w:p>
    <w:p>
      <w:r>
        <w:rPr>
          <w:rFonts w:ascii="Aptos" w:hAnsi="Aptos" w:eastAsia="宋体"/>
          <w:b w:val="0"/>
          <w:i w:val="0"/>
          <w:sz w:val="21"/>
        </w:rPr>
        <w:t>若候选干预显著改变Semantic IR，则必须视为候选泄漏、随机不稳定或实现旁路问题并分型报告，不能仅以最终答案仍正确来宣称Candidate Isolation成立。有限扰动实验是实现审计，不等价于对所有C的数学证明。</w:t>
      </w:r>
    </w:p>
    <w:p>
      <w:pPr>
        <w:pStyle w:val="Heading2"/>
      </w:pPr>
      <w:r>
        <w:t>9.4 连续版本实验</w:t>
      </w:r>
    </w:p>
    <w:p>
      <w:r>
        <w:t>V1.7采用“两层动态证据”：Transition-Level用于统计效力，Chain-Level用于验证连续状态传播。</w:t>
      </w:r>
    </w:p>
    <w:p>
      <w:r>
        <w:t>目标总规模：30–50条真实版本链，合计至少100个真实version transitions；每条链3–5个真实版本。</w:t>
      </w:r>
    </w:p>
    <w:p>
      <w:pPr>
        <w:pStyle w:val="EquationBlock"/>
      </w:pPr>
      <w:r>
        <w:t>VTA = CorrectTransitions / AllTransitions</w:t>
      </w:r>
    </w:p>
    <w:p>
      <w:pPr>
        <w:pStyle w:val="EquationBlock"/>
      </w:pPr>
      <w:r>
        <w:t>CSR = FullyCorrectChains / AllChains</w:t>
      </w:r>
    </w:p>
    <w:p>
      <w:pPr>
        <w:pStyle w:val="EquationBlock"/>
      </w:pPr>
      <w:r>
        <w:t>FSA = CorrectFinalStates / AllChains</w:t>
      </w:r>
    </w:p>
    <w:p>
      <w:r>
        <w:t>若最终只能获得小规模链数据，必须将该部分降称为longitudinal case study，而不能用少量精选链支撑“大规模动态验证”主张。</w:t>
      </w:r>
    </w:p>
    <w:p>
      <w:pPr>
        <w:pStyle w:val="EquationBlock"/>
        <w:jc w:val="center"/>
      </w:pPr>
      <w:r>
        <w:rPr>
          <w:rFonts w:ascii="Cambria Math" w:hAnsi="Cambria Math" w:eastAsia="Cambria Math"/>
          <w:sz w:val="21"/>
        </w:rPr>
        <w:t>O_1 → O_2 → O_3 → ... → O_n</w:t>
      </w:r>
    </w:p>
    <w:p>
      <w:pPr>
        <w:ind w:left="340" w:hanging="170"/>
      </w:pPr>
      <w:r>
        <w:t>• Version Transition Accuracy (VTA)：基于全部真实版本transition统计，目标总量≥100个transition</w:t>
      </w:r>
    </w:p>
    <w:p>
      <w:pPr>
        <w:ind w:left="340" w:hanging="170"/>
      </w:pPr>
      <w:r>
        <w:t>• Chain Success Rate (CSR)：建议总计30–50条真实版本链（跨三个领域），每条3–5版本</w:t>
      </w:r>
    </w:p>
    <w:p>
      <w:pPr>
        <w:ind w:left="340" w:hanging="170"/>
      </w:pPr>
      <w:r>
        <w:t xml:space="preserve">• </w:t>
      </w:r>
      <w:r>
        <w:t>Final-State Accuracy (FSA)</w:t>
      </w:r>
    </w:p>
    <w:p>
      <w:pPr>
        <w:ind w:left="340" w:hanging="170"/>
      </w:pPr>
      <w:r>
        <w:t xml:space="preserve">• </w:t>
      </w:r>
      <w:r>
        <w:t>Historical Query Preservation (HQP)</w:t>
      </w:r>
    </w:p>
    <w:p>
      <w:pPr>
        <w:ind w:left="340" w:hanging="170"/>
      </w:pPr>
      <w:r>
        <w:t xml:space="preserve">• </w:t>
      </w:r>
      <w:r>
        <w:t>Error Accumulation Rate</w:t>
      </w:r>
    </w:p>
    <w:p>
      <w:pPr>
        <w:pStyle w:val="Heading3"/>
      </w:pPr>
      <w:r>
        <w:rPr>
          <w:rFonts w:ascii="Aptos" w:hAnsi="Aptos" w:eastAsia="黑体"/>
          <w:b w:val="0"/>
          <w:i w:val="0"/>
          <w:sz w:val="21"/>
        </w:rPr>
        <w:t>9.4.1 Causal Longitudinal Evaluation</w:t>
      </w:r>
    </w:p>
    <w:p>
      <w:r>
        <w:rPr>
          <w:rFonts w:ascii="Aptos" w:hAnsi="Aptos" w:eastAsia="宋体"/>
          <w:b w:val="0"/>
          <w:i w:val="0"/>
          <w:sz w:val="21"/>
        </w:rPr>
        <w:t>纵向实验按因果时间顺序执行。对任一 t_i→t_{i+1} 的修复，只允许系统访问截至 t_{i+1} 已公开或已生效的证据；任何未来版本 D_{&gt;t_{i+1}} 均与当前transition隔离。后续版本推翻前序规则属于新的合法演化，不反向判定历史修复为错误。</w:t>
      </w:r>
    </w:p>
    <w:p>
      <w:pPr>
        <w:pStyle w:val="EquationBlock"/>
        <w:jc w:val="center"/>
      </w:pPr>
      <w:r>
        <w:rPr>
          <w:rFonts w:ascii="Cambria Math" w:hAnsi="Cambria Math" w:eastAsia="Cambria Math"/>
          <w:b w:val="0"/>
          <w:i w:val="0"/>
          <w:sz w:val="21"/>
        </w:rPr>
        <w:t>Input_{t_i→t_{i+1}} ∩ D_{&gt;t_{i+1}} = ∅</w:t>
      </w:r>
    </w:p>
    <w:p>
      <w:pPr>
        <w:pStyle w:val="SmallNote"/>
      </w:pPr>
      <w:r>
        <w:rPr>
          <w:rFonts w:ascii="Aptos" w:hAnsi="Aptos" w:eastAsia="宋体"/>
          <w:b w:val="0"/>
          <w:i/>
          <w:sz w:val="21"/>
        </w:rPr>
        <w:t>Chain-level evaluation therefore measures sequential stability, error accumulation and historical-state preservation, rather than perfect long-term foresight.</w:t>
      </w:r>
    </w:p>
    <w:p>
      <w:pPr>
        <w:pStyle w:val="Heading3"/>
      </w:pPr>
      <w:r>
        <w:rPr>
          <w:rFonts w:ascii="Aptos" w:hAnsi="Aptos" w:eastAsia="黑体"/>
          <w:b w:val="0"/>
          <w:i w:val="0"/>
          <w:sz w:val="21"/>
        </w:rPr>
        <w:t>9.4.2 HQP：Historical State Preservation</w:t>
      </w:r>
    </w:p>
    <w:p>
      <w:r>
        <w:rPr>
          <w:rFonts w:ascii="Aptos" w:hAnsi="Aptos" w:eastAsia="宋体"/>
          <w:b w:val="0"/>
          <w:i w:val="0"/>
          <w:sz w:val="21"/>
        </w:rPr>
        <w:t>HQP不要求同一查询跨版本保持相同答案，因为真实规范演化允许 Answer(q,t_i) ≠ Answer(q,t_j)。HQP衡量的是历史本体状态O_{t_i}不会被未来版本覆盖，并且对历史时间点查询时仍能返回当时的gold答案。</w:t>
      </w:r>
    </w:p>
    <w:p>
      <w:pPr>
        <w:pStyle w:val="EquationBlock"/>
        <w:jc w:val="center"/>
      </w:pPr>
      <w:r>
        <w:rPr>
          <w:rFonts w:ascii="Cambria Math" w:hAnsi="Cambria Math" w:eastAsia="Cambria Math"/>
          <w:b w:val="0"/>
          <w:i w:val="0"/>
          <w:sz w:val="21"/>
        </w:rPr>
        <w:t>HQP = #{(q,t_i): Ans(q,O_{t_i}) = Gold(q,t_i)} / #HistoricalQueries</w:t>
      </w:r>
    </w:p>
    <w:p>
      <w:r>
        <w:rPr>
          <w:rFonts w:ascii="Aptos" w:hAnsi="Aptos" w:eastAsia="宋体"/>
          <w:b w:val="0"/>
          <w:i w:val="0"/>
          <w:sz w:val="21"/>
        </w:rPr>
        <w:t>因此，未来版本可以合法否定旧规则，但系统必须保留历史版本状态，并基于查询时间选择对应本体版本。</w:t>
      </w:r>
    </w:p>
    <w:p>
      <w:pPr>
        <w:pStyle w:val="Heading3"/>
      </w:pPr>
      <w:r>
        <w:rPr>
          <w:rFonts w:ascii="Aptos" w:hAnsi="Aptos" w:eastAsia="黑体"/>
          <w:b w:val="0"/>
          <w:i w:val="0"/>
          <w:sz w:val="21"/>
        </w:rPr>
        <w:t>9.4.3 Dual-Protocol Longitudinal Evaluation</w:t>
      </w:r>
    </w:p>
    <w:p>
      <w:r>
        <w:rPr>
          <w:rFonts w:ascii="Aptos" w:hAnsi="Aptos" w:eastAsia="宋体"/>
          <w:b w:val="0"/>
          <w:i w:val="0"/>
          <w:sz w:val="21"/>
        </w:rPr>
        <w:t>V1.7明确区分两种纵向状态来源，避免把真实历史本体与系统自身滚动产生的中间状态混为同一种历史证据。两套协议都严格遵守Future Evidence Isolation。</w:t>
      </w:r>
    </w:p>
    <w:p>
      <w:pPr>
        <w:pStyle w:val="Heading3"/>
      </w:pPr>
      <w:r>
        <w:rPr>
          <w:rFonts w:ascii="Aptos" w:hAnsi="Aptos" w:eastAsia="黑体"/>
          <w:b w:val="0"/>
          <w:i w:val="0"/>
          <w:sz w:val="21"/>
        </w:rPr>
        <w:t>Protocol L1 — Source-Original Transition</w:t>
      </w:r>
    </w:p>
    <w:p>
      <w:r>
        <w:rPr>
          <w:rFonts w:ascii="Aptos" w:hAnsi="Aptos" w:eastAsia="宋体"/>
          <w:b w:val="0"/>
          <w:i w:val="0"/>
          <w:sz w:val="21"/>
        </w:rPr>
        <w:t>每个transition均从对应版本的原始或历史可证实本体状态开始。该协议隔离前序模型误差，用于测量“在真实历史起点上，单步transition是否能被正确修复”。</w:t>
      </w:r>
    </w:p>
    <w:p>
      <w:pPr>
        <w:pStyle w:val="EquationBlock"/>
        <w:jc w:val="center"/>
      </w:pPr>
      <w:r>
        <w:rPr>
          <w:rFonts w:ascii="Cambria Math" w:hAnsi="Cambria Math" w:eastAsia="Cambria Math"/>
          <w:b w:val="0"/>
          <w:i w:val="0"/>
          <w:sz w:val="21"/>
        </w:rPr>
        <w:t>O^source_{t_i} → Ō_{t_{i+1}}</w:t>
      </w:r>
    </w:p>
    <w:p>
      <w:pPr>
        <w:pStyle w:val="Heading3"/>
      </w:pPr>
      <w:r>
        <w:rPr>
          <w:rFonts w:ascii="Aptos" w:hAnsi="Aptos" w:eastAsia="黑体"/>
          <w:b w:val="0"/>
          <w:i w:val="0"/>
          <w:sz w:val="21"/>
        </w:rPr>
        <w:t>Protocol L2 — Repaired-Trajectory Rollout</w:t>
      </w:r>
    </w:p>
    <w:p>
      <w:r>
        <w:rPr>
          <w:rFonts w:ascii="Aptos" w:hAnsi="Aptos" w:eastAsia="宋体"/>
          <w:b w:val="0"/>
          <w:i w:val="0"/>
          <w:sz w:val="21"/>
        </w:rPr>
        <w:t>第一步从历史可证实状态开始，后续transition直接使用系统上一轮产生的修复状态。该协议测量错误传播、级联影响和连续部署稳定性。任何缺乏历史证据、由系统产生的中间状态必须标记为REPAIRED_TRAJECTORY，不得描述为历史上实际部署过的本体状态。</w:t>
      </w:r>
    </w:p>
    <w:p>
      <w:pPr>
        <w:pStyle w:val="EquationBlock"/>
        <w:jc w:val="center"/>
      </w:pPr>
      <w:r>
        <w:rPr>
          <w:rFonts w:ascii="Cambria Math" w:hAnsi="Cambria Math" w:eastAsia="Cambria Math"/>
          <w:b w:val="0"/>
          <w:i w:val="0"/>
          <w:sz w:val="21"/>
        </w:rPr>
        <w:t>O^source_{t_1} → Ō_{t_2} → Ō_{t_3} → ... → Ō_{t_n}</w:t>
      </w:r>
    </w:p>
    <w:p>
      <w:pPr>
        <w:pStyle w:val="EquationBlock"/>
        <w:jc w:val="center"/>
      </w:pPr>
      <w:r>
        <w:rPr>
          <w:rFonts w:ascii="Cambria Math" w:hAnsi="Cambria Math" w:eastAsia="Cambria Math"/>
          <w:b w:val="0"/>
          <w:i w:val="0"/>
          <w:sz w:val="21"/>
        </w:rPr>
        <w:t>StateOrigin ∈ {HISTORICALLY_ATTESTED, REPAIRED_TRAJECTORY}</w:t>
      </w:r>
    </w:p>
    <w:p>
      <w:r>
        <w:rPr>
          <w:rFonts w:ascii="Aptos" w:hAnsi="Aptos" w:eastAsia="宋体"/>
          <w:b w:val="0"/>
          <w:i w:val="0"/>
          <w:sz w:val="21"/>
        </w:rPr>
        <w:t>两套协议必须分开报告：L1报告VTA_source；L2报告VTA_rollout、CSR_rollout与FSA_rollout，不允许把两类transition混入同一个VTA主结果。</w:t>
      </w:r>
    </w:p>
    <w:p>
      <w:pPr>
        <w:pStyle w:val="EquationBlock"/>
        <w:jc w:val="center"/>
      </w:pPr>
      <w:r>
        <w:rPr>
          <w:rFonts w:ascii="Cambria Math" w:hAnsi="Cambria Math" w:eastAsia="Cambria Math"/>
          <w:b w:val="0"/>
          <w:i w:val="0"/>
          <w:sz w:val="21"/>
        </w:rPr>
        <w:t>PropagationGap = VTA_source − VTA_rollout</w:t>
      </w:r>
    </w:p>
    <w:p>
      <w:r>
        <w:rPr>
          <w:rFonts w:ascii="Aptos" w:hAnsi="Aptos" w:eastAsia="宋体"/>
          <w:b w:val="0"/>
          <w:i w:val="0"/>
          <w:sz w:val="21"/>
        </w:rPr>
        <w:t>Propagation Gap量化前序修复误差对后续transition的累积影响。若Gap接近0，说明滚动轨迹稳定；若Gap显著增大，则说明方法单步能力与连续部署能力之间存在差距。</w:t>
      </w:r>
    </w:p>
    <w:p>
      <w:pPr>
        <w:pStyle w:val="Heading2"/>
      </w:pPr>
      <w:r>
        <w:t>9.5 CQ推理恢复与级联影响</w:t>
      </w:r>
    </w:p>
    <w:p>
      <w:r>
        <w:rPr>
          <w:rFonts w:ascii="Aptos" w:hAnsi="Aptos" w:eastAsia="宋体"/>
          <w:b w:val="0"/>
          <w:i w:val="0"/>
          <w:sz w:val="21"/>
        </w:rPr>
        <w:t>CQ实验在V1.7中承担双重角色：一是验证修复后的downstream reasoning utility；二是作为Observable Semantic Drift的操作性观测代理。必须预先冻结CQ集合与gold答案，避免看到修复结果后再挑选能够体现差异的问题。</w:t>
      </w:r>
    </w:p>
    <w:p>
      <w:pPr>
        <w:pStyle w:val="EquationBlock"/>
        <w:jc w:val="center"/>
      </w:pPr>
      <w:r>
        <w:rPr>
          <w:rFonts w:ascii="Cambria Math" w:hAnsi="Cambria Math" w:eastAsia="Cambria Math"/>
          <w:sz w:val="21"/>
        </w:rPr>
        <w:t>CQ(O_stale),  CQ(O_repaired),  CQ(O_gold)</w:t>
      </w:r>
    </w:p>
    <w:p>
      <w:pPr>
        <w:pStyle w:val="EquationBlock"/>
        <w:jc w:val="center"/>
      </w:pPr>
      <w:r>
        <w:rPr>
          <w:rFonts w:ascii="Cambria Math" w:hAnsi="Cambria Math" w:eastAsia="Cambria Math"/>
          <w:sz w:val="21"/>
        </w:rPr>
        <w:t>Affected(ΔO) = {AffectedCQ, AffectedEntailments, AffectedAxioms}</w:t>
      </w:r>
    </w:p>
    <w:p>
      <w:pPr>
        <w:pStyle w:val="EquationBlock"/>
        <w:jc w:val="center"/>
      </w:pPr>
      <w:r>
        <w:rPr>
          <w:rFonts w:ascii="Cambria Math" w:hAnsi="Cambria Math" w:eastAsia="Cambria Math"/>
          <w:sz w:val="21"/>
        </w:rPr>
        <w:t>UnaffectedCQ(O_t) = UnaffectedCQ(O_{t+1})</w:t>
      </w:r>
    </w:p>
    <w:p>
      <w:pPr>
        <w:pStyle w:val="Heading2"/>
      </w:pPr>
      <w:r>
        <w:t>9.6 No-Drift正式评估</w:t>
      </w:r>
    </w:p>
    <w:p>
      <w:pPr>
        <w:pStyle w:val="EquationBlock"/>
        <w:jc w:val="center"/>
      </w:pPr>
      <w:r>
        <w:rPr>
          <w:rFonts w:ascii="Cambria Math" w:hAnsi="Cambria Math" w:eastAsia="Cambria Math"/>
          <w:sz w:val="21"/>
        </w:rPr>
        <w:t>NoDrift → expected output = NO_CHANGE;    ABSTAIN ≠ NO_CHANGE</w:t>
      </w:r>
    </w:p>
    <w:p>
      <w:r>
        <w:t>报告False Repair Rate、No-Change Precision/Recall、No-Drift Detection Accuracy、ABSTAIN Rate和Review Precision。ABSTAIN不得计为No-Drift正确答案，NO_CHANGE也不得计为选择性弃权。</w:t>
      </w:r>
    </w:p>
    <w:p>
      <w:pPr>
        <w:pStyle w:val="Heading2"/>
      </w:pPr>
      <w:r>
        <w:t>9.7 预训练污染与词面泄露控制</w:t>
      </w:r>
    </w:p>
    <w:p>
      <w:pPr>
        <w:ind w:left="340" w:hanging="170"/>
      </w:pPr>
      <w:r>
        <w:t xml:space="preserve">• </w:t>
      </w:r>
      <w:r>
        <w:t>Paraphrase：保留语义，系统性改变句式。</w:t>
      </w:r>
    </w:p>
    <w:p>
      <w:pPr>
        <w:ind w:left="340" w:hanging="170"/>
      </w:pPr>
      <w:r>
        <w:t xml:space="preserve">• </w:t>
      </w:r>
      <w:r>
        <w:t>Entity Renaming：保持逻辑结构，替换实体表面名。</w:t>
      </w:r>
    </w:p>
    <w:p>
      <w:pPr>
        <w:ind w:left="340" w:hanging="170"/>
      </w:pPr>
      <w:r>
        <w:t xml:space="preserve">• </w:t>
      </w:r>
      <w:r>
        <w:t>Low Lexical Overlap：按证据—候选词汇重叠度分层报告。</w:t>
      </w:r>
    </w:p>
    <w:p>
      <w:pPr>
        <w:ind w:left="340" w:hanging="170"/>
      </w:pPr>
      <w:r>
        <w:rPr>
          <w:rFonts w:ascii="Aptos" w:hAnsi="Aptos" w:eastAsia="宋体"/>
          <w:sz w:val="21"/>
        </w:rPr>
        <w:t>• 增加recent / low-exposure document subset；若模型厂商未公开可靠knowledge cutoff，不得称为“guaranteed unseen”，只能用于降低预训练记忆解释力。</w:t>
      </w:r>
    </w:p>
    <w:p>
      <w:r>
        <w:rPr>
          <w:rFonts w:ascii="Aptos" w:hAnsi="Aptos" w:eastAsia="宋体"/>
          <w:b w:val="0"/>
          <w:i w:val="0"/>
          <w:sz w:val="21"/>
        </w:rPr>
        <w:t>Candidate-Blind Non-Interference的claim仅限于阻断task-time candidate leakage；Paraphrase、Entity Renaming、Low Lexical Overlap与recent/low-exposure subset只能降低预训练记忆对结果的解释力，不能证明完全消除memorization。</w:t>
      </w:r>
    </w:p>
    <w:p>
      <w:pPr>
        <w:pStyle w:val="Heading1"/>
      </w:pPr>
      <w:r>
        <w:t>10. 指标体系</w:t>
      </w:r>
    </w:p>
    <w:tbl>
      <w:tblPr>
        <w:tblStyle w:val="TableGrid"/>
        <w:tblW w:type="auto" w:w="0"/>
        <w:jc w:val="center"/>
        <w:tblLook w:firstColumn="1" w:firstRow="1" w:lastColumn="0" w:lastRow="0" w:noHBand="0" w:noVBand="1" w:val="04A0"/>
      </w:tblPr>
      <w:tblGrid>
        <w:gridCol w:w="4759"/>
        <w:gridCol w:w="4759"/>
      </w:tblGrid>
      <w:tr>
        <w:tc>
          <w:tcPr>
            <w:tcW w:type="dxa" w:w="2268"/>
            <w:shd w:fill="D9EAF7"/>
            <w:vAlign w:val="center"/>
          </w:tcPr>
          <w:p>
            <w:pPr>
              <w:spacing w:after="0"/>
            </w:pPr>
            <w:r>
              <w:rPr>
                <w:rFonts w:ascii="Aptos" w:hAnsi="Aptos" w:eastAsia="宋体"/>
                <w:sz w:val="18"/>
              </w:rPr>
            </w:r>
            <w:r>
              <w:rPr>
                <w:rFonts w:ascii="Aptos" w:hAnsi="Aptos" w:eastAsia="宋体"/>
                <w:b/>
                <w:sz w:val="18"/>
              </w:rPr>
              <w:t>维度</w:t>
            </w:r>
          </w:p>
        </w:tc>
        <w:tc>
          <w:tcPr>
            <w:tcW w:type="dxa" w:w="7257"/>
            <w:shd w:fill="D9EAF7"/>
            <w:vAlign w:val="center"/>
          </w:tcPr>
          <w:p>
            <w:pPr>
              <w:spacing w:after="0"/>
            </w:pPr>
            <w:r>
              <w:rPr>
                <w:rFonts w:ascii="Aptos" w:hAnsi="Aptos" w:eastAsia="宋体"/>
                <w:sz w:val="18"/>
              </w:rPr>
            </w:r>
            <w:r>
              <w:rPr>
                <w:rFonts w:ascii="Aptos" w:hAnsi="Aptos" w:eastAsia="宋体"/>
                <w:b/>
                <w:sz w:val="18"/>
              </w:rPr>
              <w:t>指标</w:t>
            </w:r>
          </w:p>
        </w:tc>
      </w:tr>
      <w:tr>
        <w:tc>
          <w:tcPr>
            <w:tcW w:type="dxa" w:w="2268"/>
            <w:vAlign w:val="top"/>
          </w:tcPr>
          <w:p>
            <w:pPr>
              <w:spacing w:after="0"/>
            </w:pPr>
            <w:r>
              <w:rPr>
                <w:rFonts w:ascii="Aptos" w:hAnsi="Aptos" w:eastAsia="宋体"/>
                <w:sz w:val="18"/>
              </w:rPr>
            </w:r>
            <w:r>
              <w:rPr>
                <w:rFonts w:ascii="Aptos" w:hAnsi="Aptos" w:eastAsia="宋体"/>
                <w:b w:val="0"/>
                <w:sz w:val="18"/>
              </w:rPr>
              <w:t>修复正确性</w:t>
            </w:r>
          </w:p>
        </w:tc>
        <w:tc>
          <w:tcPr>
            <w:tcW w:type="dxa" w:w="7257"/>
            <w:vAlign w:val="center"/>
          </w:tcPr>
          <w:p>
            <w:pPr>
              <w:spacing w:after="0"/>
            </w:pPr>
            <w:r>
              <w:rPr>
                <w:rFonts w:ascii="Aptos" w:hAnsi="Aptos" w:eastAsia="宋体"/>
                <w:sz w:val="18"/>
              </w:rPr>
              <w:t>Strict Event Success（primary）, Repair Accuracy, Closure Accuracy, Wrong Selection Rate, No-Change Precision/Recall</w:t>
            </w:r>
          </w:p>
        </w:tc>
      </w:tr>
      <w:tr>
        <w:tc>
          <w:tcPr>
            <w:tcW w:type="dxa" w:w="2268"/>
            <w:vAlign w:val="top"/>
          </w:tcPr>
          <w:p>
            <w:pPr>
              <w:spacing w:after="0"/>
            </w:pPr>
            <w:r>
              <w:rPr>
                <w:rFonts w:ascii="Aptos" w:hAnsi="Aptos" w:eastAsia="宋体"/>
                <w:sz w:val="18"/>
              </w:rPr>
            </w:r>
            <w:r>
              <w:rPr>
                <w:rFonts w:ascii="Aptos" w:hAnsi="Aptos" w:eastAsia="宋体"/>
                <w:b w:val="0"/>
                <w:sz w:val="18"/>
              </w:rPr>
              <w:t>选择性安全</w:t>
            </w:r>
          </w:p>
        </w:tc>
        <w:tc>
          <w:tcPr>
            <w:tcW w:type="dxa" w:w="7257"/>
            <w:vAlign w:val="center"/>
          </w:tcPr>
          <w:p>
            <w:pPr>
              <w:spacing w:after="0"/>
            </w:pPr>
            <w:r>
              <w:rPr>
                <w:rFonts w:ascii="Aptos" w:hAnsi="Aptos" w:eastAsia="宋体"/>
                <w:sz w:val="18"/>
              </w:rPr>
              <w:t>WRR, Coverage, Selective Risk, Abstention/Review Precision, False Repair Rate, Risk-Coverage curve</w:t>
            </w:r>
          </w:p>
        </w:tc>
      </w:tr>
      <w:tr>
        <w:tc>
          <w:tcPr>
            <w:tcW w:type="dxa" w:w="2268"/>
            <w:vAlign w:val="top"/>
          </w:tcPr>
          <w:p>
            <w:pPr>
              <w:spacing w:after="0"/>
            </w:pPr>
            <w:r>
              <w:rPr>
                <w:rFonts w:ascii="Aptos" w:hAnsi="Aptos" w:eastAsia="宋体"/>
                <w:sz w:val="18"/>
              </w:rPr>
            </w:r>
            <w:r>
              <w:rPr>
                <w:rFonts w:ascii="Aptos" w:hAnsi="Aptos" w:eastAsia="宋体"/>
                <w:b w:val="0"/>
                <w:sz w:val="18"/>
              </w:rPr>
              <w:t>动态性</w:t>
            </w:r>
          </w:p>
        </w:tc>
        <w:tc>
          <w:tcPr>
            <w:tcW w:type="dxa" w:w="7257"/>
            <w:vAlign w:val="top"/>
          </w:tcPr>
          <w:p>
            <w:r>
              <w:rPr>
                <w:rFonts w:ascii="Aptos" w:hAnsi="Aptos" w:eastAsia="宋体"/>
                <w:sz w:val="18"/>
              </w:rPr>
              <w:t>VTA, CSR, FSA, HQP, Error Accumulation Rate, VTA_source, VTA_rollout, Propagation Gap</w:t>
            </w:r>
          </w:p>
        </w:tc>
      </w:tr>
      <w:tr>
        <w:tc>
          <w:tcPr>
            <w:tcW w:type="dxa" w:w="2268"/>
            <w:vAlign w:val="top"/>
          </w:tcPr>
          <w:p>
            <w:pPr>
              <w:spacing w:after="0"/>
            </w:pPr>
            <w:r>
              <w:rPr>
                <w:rFonts w:ascii="Aptos" w:hAnsi="Aptos" w:eastAsia="宋体"/>
                <w:sz w:val="18"/>
              </w:rPr>
            </w:r>
            <w:r>
              <w:rPr>
                <w:rFonts w:ascii="Aptos" w:hAnsi="Aptos" w:eastAsia="宋体"/>
                <w:b w:val="0"/>
                <w:sz w:val="18"/>
              </w:rPr>
              <w:t>推理价值</w:t>
            </w:r>
          </w:p>
        </w:tc>
        <w:tc>
          <w:tcPr>
            <w:tcW w:type="dxa" w:w="7257"/>
            <w:vAlign w:val="top"/>
          </w:tcPr>
          <w:p>
            <w:r>
              <w:t>Full-Ontology CQ Accuracy, CQ Recovery Rate, Unaffected-CQ Preservation; Local/Full CQ Agreement仅用于E11探索性分析</w:t>
            </w:r>
          </w:p>
        </w:tc>
      </w:tr>
      <w:tr>
        <w:tc>
          <w:tcPr>
            <w:tcW w:type="dxa" w:w="2268"/>
            <w:vAlign w:val="top"/>
          </w:tcPr>
          <w:p>
            <w:pPr>
              <w:spacing w:after="0"/>
            </w:pPr>
            <w:r>
              <w:rPr>
                <w:rFonts w:ascii="Aptos" w:hAnsi="Aptos" w:eastAsia="宋体"/>
                <w:sz w:val="18"/>
              </w:rPr>
            </w:r>
            <w:r>
              <w:rPr>
                <w:rFonts w:ascii="Aptos" w:hAnsi="Aptos" w:eastAsia="宋体"/>
                <w:b w:val="0"/>
                <w:sz w:val="18"/>
              </w:rPr>
              <w:t>漂移检测</w:t>
            </w:r>
          </w:p>
        </w:tc>
        <w:tc>
          <w:tcPr>
            <w:tcW w:type="dxa" w:w="7257"/>
            <w:vAlign w:val="top"/>
          </w:tcPr>
          <w:p>
            <w:pPr>
              <w:spacing w:after="0"/>
            </w:pPr>
            <w:r>
              <w:rPr>
                <w:rFonts w:ascii="Aptos" w:hAnsi="Aptos" w:eastAsia="宋体"/>
                <w:sz w:val="18"/>
              </w:rPr>
            </w:r>
            <w:r>
              <w:rPr>
                <w:rFonts w:ascii="Aptos" w:hAnsi="Aptos" w:eastAsia="宋体"/>
                <w:b w:val="0"/>
                <w:sz w:val="18"/>
              </w:rPr>
              <w:t>Precision, Recall, F1, FPR, Localization Accuracy</w:t>
            </w:r>
          </w:p>
        </w:tc>
      </w:tr>
      <w:tr>
        <w:tc>
          <w:tcPr>
            <w:tcW w:type="dxa" w:w="2268"/>
            <w:vAlign w:val="top"/>
          </w:tcPr>
          <w:p>
            <w:pPr>
              <w:spacing w:after="0"/>
            </w:pPr>
            <w:r>
              <w:rPr>
                <w:rFonts w:ascii="Aptos" w:hAnsi="Aptos" w:eastAsia="宋体"/>
                <w:sz w:val="18"/>
              </w:rPr>
            </w:r>
            <w:r>
              <w:rPr>
                <w:rFonts w:ascii="Aptos" w:hAnsi="Aptos" w:eastAsia="宋体"/>
                <w:b w:val="0"/>
                <w:sz w:val="18"/>
              </w:rPr>
              <w:t>形式化可靠性</w:t>
            </w:r>
          </w:p>
        </w:tc>
        <w:tc>
          <w:tcPr>
            <w:tcW w:type="dxa" w:w="7257"/>
            <w:vAlign w:val="top"/>
          </w:tcPr>
          <w:p>
            <w:pPr>
              <w:spacing w:after="0"/>
            </w:pPr>
            <w:r>
              <w:rPr>
                <w:rFonts w:ascii="Aptos" w:hAnsi="Aptos" w:eastAsia="宋体"/>
                <w:sz w:val="18"/>
              </w:rPr>
            </w:r>
            <w:r>
              <w:rPr>
                <w:rFonts w:ascii="Aptos" w:hAnsi="Aptos" w:eastAsia="宋体"/>
                <w:b w:val="0"/>
                <w:sz w:val="18"/>
              </w:rPr>
              <w:t>Logical Consistency, Patch Validity, Result Equivalence</w:t>
            </w:r>
          </w:p>
        </w:tc>
      </w:tr>
      <w:tr>
        <w:tc>
          <w:tcPr>
            <w:tcW w:type="dxa" w:w="2268"/>
            <w:vAlign w:val="top"/>
          </w:tcPr>
          <w:p>
            <w:pPr>
              <w:spacing w:after="0"/>
            </w:pPr>
            <w:r>
              <w:rPr>
                <w:rFonts w:ascii="Aptos" w:hAnsi="Aptos" w:eastAsia="宋体"/>
                <w:sz w:val="18"/>
              </w:rPr>
            </w:r>
            <w:r>
              <w:rPr>
                <w:rFonts w:ascii="Aptos" w:hAnsi="Aptos" w:eastAsia="宋体"/>
                <w:b w:val="0"/>
                <w:sz w:val="18"/>
              </w:rPr>
              <w:t>可解释/可审计</w:t>
            </w:r>
          </w:p>
        </w:tc>
        <w:tc>
          <w:tcPr>
            <w:tcW w:type="dxa" w:w="7257"/>
            <w:vAlign w:val="top"/>
          </w:tcPr>
          <w:p>
            <w:pPr>
              <w:spacing w:after="0"/>
            </w:pPr>
            <w:r>
              <w:rPr>
                <w:rFonts w:ascii="Aptos" w:hAnsi="Aptos" w:eastAsia="宋体"/>
                <w:sz w:val="18"/>
              </w:rPr>
            </w:r>
            <w:r>
              <w:rPr>
                <w:rFonts w:ascii="Aptos" w:hAnsi="Aptos" w:eastAsia="宋体"/>
                <w:b w:val="0"/>
                <w:sz w:val="18"/>
              </w:rPr>
              <w:t>Provenance Completeness, Justification Coverage</w:t>
            </w:r>
          </w:p>
        </w:tc>
      </w:tr>
      <w:tr>
        <w:tc>
          <w:tcPr>
            <w:tcW w:type="dxa" w:w="2268"/>
            <w:vAlign w:val="top"/>
          </w:tcPr>
          <w:p>
            <w:pPr>
              <w:spacing w:after="0"/>
            </w:pPr>
            <w:r>
              <w:rPr>
                <w:rFonts w:ascii="Aptos" w:hAnsi="Aptos" w:eastAsia="宋体"/>
                <w:sz w:val="18"/>
              </w:rPr>
            </w:r>
            <w:r>
              <w:rPr>
                <w:rFonts w:ascii="Aptos" w:hAnsi="Aptos" w:eastAsia="宋体"/>
                <w:b w:val="0"/>
                <w:sz w:val="18"/>
              </w:rPr>
              <w:t>效率</w:t>
            </w:r>
          </w:p>
        </w:tc>
        <w:tc>
          <w:tcPr>
            <w:tcW w:type="dxa" w:w="7257"/>
            <w:vAlign w:val="top"/>
          </w:tcPr>
          <w:p>
            <w:pPr>
              <w:spacing w:after="0"/>
            </w:pPr>
            <w:r>
              <w:rPr>
                <w:rFonts w:ascii="Aptos" w:hAnsi="Aptos" w:eastAsia="宋体"/>
                <w:sz w:val="18"/>
              </w:rPr>
            </w:r>
            <w:r>
              <w:rPr>
                <w:rFonts w:ascii="Aptos" w:hAnsi="Aptos" w:eastAsia="宋体"/>
                <w:b w:val="0"/>
                <w:sz w:val="18"/>
              </w:rPr>
              <w:t>Latency/Event, Tokens/Event, Cost/Event, Peak Memory</w:t>
            </w:r>
          </w:p>
        </w:tc>
      </w:tr>
      <w:tr>
        <w:tc>
          <w:tcPr>
            <w:tcW w:type="dxa" w:w="4759"/>
          </w:tcPr>
          <w:p>
            <w:r>
              <w:t>统计有效性</w:t>
            </w:r>
          </w:p>
        </w:tc>
        <w:tc>
          <w:tcPr>
            <w:tcW w:type="dxa" w:w="4759"/>
            <w:vAlign w:val="center"/>
          </w:tcPr>
          <w:p>
            <w:r>
              <w:t>SES MDE, Power, 95% CI, paired effect size, discordant-pair counts, source/chain-clustered robustness</w:t>
            </w:r>
          </w:p>
        </w:tc>
      </w:tr>
      <w:tr>
        <w:tc>
          <w:tcPr>
            <w:tcW w:type="dxa" w:w="4759"/>
            <w:vAlign w:val="center"/>
            <w:tcMar>
              <w:top w:w="80" w:type="dxa"/>
              <w:left w:w="80" w:type="dxa"/>
              <w:bottom w:w="80" w:type="dxa"/>
              <w:right w:w="80" w:type="dxa"/>
            </w:tcMar>
          </w:tcPr>
          <w:p>
            <w:r>
              <w:t>Γ编译可靠性</w:t>
            </w:r>
          </w:p>
        </w:tc>
        <w:tc>
          <w:tcPr>
            <w:tcW w:type="dxa" w:w="4759"/>
            <w:vAlign w:val="center"/>
            <w:tcMar>
              <w:top w:w="80" w:type="dxa"/>
              <w:left w:w="80" w:type="dxa"/>
              <w:bottom w:w="80" w:type="dxa"/>
              <w:right w:w="80" w:type="dxa"/>
            </w:tcMar>
          </w:tcPr>
          <w:p>
            <w:r>
              <w:t>Construct Coverage, Compilation Success, Semantic Correctness, Determinism, Rejection Safety, Unsafe Compilation</w:t>
            </w:r>
          </w:p>
        </w:tc>
      </w:tr>
    </w:tbl>
    <w:p/>
    <w:p>
      <w:pPr>
        <w:pStyle w:val="Heading1"/>
      </w:pPr>
      <w:r>
        <w:t>11. 可审计性与“可信”定义</w:t>
      </w:r>
    </w:p>
    <w:p>
      <w:pPr>
        <w:pStyle w:val="EquationBlock"/>
        <w:jc w:val="center"/>
      </w:pPr>
      <w:r>
        <w:rPr>
          <w:rFonts w:ascii="Cambria Math" w:hAnsi="Cambria Math" w:eastAsia="Cambria Math"/>
          <w:sz w:val="21"/>
        </w:rPr>
        <w:t>Trust = {EvidenceGrounding, FormalValidity, Traceability, SelectiveSafety, ReasoningUtility}</w:t>
      </w:r>
    </w:p>
    <w:p>
      <w:r>
        <w:t>如果保留Trustworthy主张，必须由以上五类可测证据支撑。</w:t>
      </w:r>
    </w:p>
    <w:p>
      <w:pPr>
        <w:pStyle w:val="Heading2"/>
      </w:pPr>
      <w:r>
        <w:t>11.1 Justification Trace</w:t>
      </w:r>
    </w:p>
    <w:p>
      <w:pPr>
        <w:jc w:val="center"/>
      </w:pPr>
      <w:r>
        <w:rPr>
          <w:rFonts w:ascii="Aptos" w:hAnsi="Aptos" w:eastAsia="黑体"/>
          <w:b/>
          <w:sz w:val="22"/>
        </w:rPr>
        <w:t>Evidence Span</w:t>
        <w:br/>
        <w:t>↓</w:t>
        <w:br/>
        <w:t>Semantic IR</w:t>
        <w:br/>
        <w:t>↓</w:t>
        <w:br/>
        <w:t>Triggered Constraints</w:t>
        <w:br/>
        <w:t>↓</w:t>
        <w:br/>
        <w:t>Candidate Accepted/Rejected</w:t>
        <w:br/>
        <w:t>↓</w:t>
        <w:br/>
        <w:t>OWL Delta</w:t>
        <w:br/>
        <w:t>↓</w:t>
        <w:br/>
        <w:t>Reasoner Result</w:t>
        <w:br/>
        <w:t>↓</w:t>
        <w:br/>
        <w:t>CQ Result</w:t>
      </w:r>
    </w:p>
    <w:p>
      <w:pPr>
        <w:pStyle w:val="Heading1"/>
      </w:pPr>
      <w:r>
        <w:t>12. 最终核心贡献（冻结为四项）</w:t>
      </w:r>
    </w:p>
    <w:p>
      <w:pPr>
        <w:pStyle w:val="Heading2"/>
      </w:pPr>
      <w:r>
        <w:t>Contribution 1 — 新任务定义</w:t>
      </w:r>
    </w:p>
    <w:p>
      <w:r>
        <w:t>正式定义动态版本知识演化下的Evidence-Constrained Semantic Ontology Repair，重点处理逻辑一致但相对于新规范语义过时的本体状态。</w:t>
      </w:r>
    </w:p>
    <w:p>
      <w:pPr>
        <w:pStyle w:val="Heading2"/>
      </w:pPr>
      <w:r>
        <w:t>Contribution 2 — Deterministic Normative-to-OWL Compiler Γ</w:t>
      </w:r>
    </w:p>
    <w:p>
      <w:r>
        <w:t>提出从Validated Repair IR到OWL Axiom-level Patch的最小确定性编译器Γ：支持片段显式、构造分派穷举、前置条件可执行、失败原子化；在RFC 213上以Gold IR验证实现，并证明确定性与拒绝安全性。</w:t>
      </w:r>
    </w:p>
    <w:p>
      <w:pPr>
        <w:pStyle w:val="Heading2"/>
      </w:pPr>
      <w:r>
        <w:t>Contribution 3 — Candidate-Blind Selective Verified Revision</w:t>
      </w:r>
    </w:p>
    <w:p>
      <w:r>
        <w:t>围绕Γ组织候选无关检索、候选盲语义理解、NO_CHANGE/ABSTAIN分离、证据约束决策、最小变化与完整本体CQ验证；Candidate-Blind与选择性风险作为外围可检验性质。</w:t>
      </w:r>
    </w:p>
    <w:p>
      <w:pPr>
        <w:pStyle w:val="Heading2"/>
      </w:pPr>
      <w:r>
        <w:t>Contribution 4 — Compiler-First Dynamic Evaluation</w:t>
      </w:r>
    </w:p>
    <w:p>
      <w:r>
        <w:rPr>
          <w:rFonts w:ascii="Aptos" w:hAnsi="Aptos" w:eastAsia="宋体"/>
          <w:sz w:val="21"/>
        </w:rPr>
        <w:t>先以RFC 213完成Gold IR编译验证与确认性端到端实验，再以保险、医疗试点和功效驱动扩展检验外部有效性；同时保留No-Drift、纵向版本链、Full-Ontology CQ、复杂T-Box及公开真实OWL验证。</w:t>
      </w:r>
    </w:p>
    <w:p>
      <w:pPr>
        <w:pStyle w:val="Heading1"/>
      </w:pPr>
      <w:r>
        <w:t>13. 论文建议结构</w:t>
      </w:r>
    </w:p>
    <w:tbl>
      <w:tblPr>
        <w:tblStyle w:val="TableGrid"/>
        <w:tblW w:type="auto" w:w="0"/>
        <w:jc w:val="center"/>
        <w:tblLook w:firstColumn="1" w:firstRow="1" w:lastColumn="0" w:lastRow="0" w:noHBand="0" w:noVBand="1" w:val="04A0"/>
      </w:tblPr>
      <w:tblGrid>
        <w:gridCol w:w="4759"/>
        <w:gridCol w:w="4759"/>
      </w:tblGrid>
      <w:tr>
        <w:tc>
          <w:tcPr>
            <w:tcW w:type="dxa" w:w="2948"/>
            <w:shd w:fill="D9EAF7"/>
            <w:vAlign w:val="center"/>
          </w:tcPr>
          <w:p>
            <w:pPr>
              <w:spacing w:after="0"/>
            </w:pPr>
            <w:r>
              <w:rPr>
                <w:rFonts w:ascii="Aptos" w:hAnsi="Aptos" w:eastAsia="宋体"/>
                <w:sz w:val="18"/>
              </w:rPr>
            </w:r>
            <w:r>
              <w:rPr>
                <w:rFonts w:ascii="Aptos" w:hAnsi="Aptos" w:eastAsia="宋体"/>
                <w:b/>
                <w:sz w:val="18"/>
              </w:rPr>
              <w:t>章节</w:t>
            </w:r>
          </w:p>
        </w:tc>
        <w:tc>
          <w:tcPr>
            <w:tcW w:type="dxa" w:w="6576"/>
            <w:shd w:fill="D9EAF7"/>
            <w:vAlign w:val="center"/>
          </w:tcPr>
          <w:p>
            <w:pPr>
              <w:spacing w:after="0"/>
            </w:pPr>
            <w:r>
              <w:rPr>
                <w:rFonts w:ascii="Aptos" w:hAnsi="Aptos" w:eastAsia="宋体"/>
                <w:sz w:val="18"/>
              </w:rPr>
            </w:r>
            <w:r>
              <w:rPr>
                <w:rFonts w:ascii="Aptos" w:hAnsi="Aptos" w:eastAsia="宋体"/>
                <w:b/>
                <w:sz w:val="18"/>
              </w:rPr>
              <w:t>核心内容</w:t>
            </w:r>
          </w:p>
        </w:tc>
      </w:tr>
      <w:tr>
        <w:tc>
          <w:tcPr>
            <w:tcW w:type="dxa" w:w="2948"/>
            <w:vAlign w:val="top"/>
          </w:tcPr>
          <w:p>
            <w:pPr>
              <w:spacing w:after="0"/>
            </w:pPr>
            <w:r>
              <w:rPr>
                <w:rFonts w:ascii="Aptos" w:hAnsi="Aptos" w:eastAsia="宋体"/>
                <w:sz w:val="18"/>
              </w:rPr>
            </w:r>
            <w:r>
              <w:rPr>
                <w:rFonts w:ascii="Aptos" w:hAnsi="Aptos" w:eastAsia="宋体"/>
                <w:b w:val="0"/>
                <w:sz w:val="18"/>
              </w:rPr>
              <w:t>1 Introduction</w:t>
            </w:r>
          </w:p>
        </w:tc>
        <w:tc>
          <w:tcPr>
            <w:tcW w:type="dxa" w:w="6576"/>
            <w:vAlign w:val="top"/>
          </w:tcPr>
          <w:p>
            <w:pPr>
              <w:spacing w:after="0"/>
            </w:pPr>
            <w:r>
              <w:rPr>
                <w:rFonts w:ascii="Aptos" w:hAnsi="Aptos" w:eastAsia="宋体"/>
                <w:sz w:val="18"/>
              </w:rPr>
            </w:r>
            <w:r>
              <w:rPr>
                <w:rFonts w:ascii="Aptos" w:hAnsi="Aptos" w:eastAsia="宋体"/>
                <w:b w:val="0"/>
                <w:sz w:val="18"/>
              </w:rPr>
              <w:t>问题场景、核心矛盾、研究空白、四项贡献</w:t>
            </w:r>
          </w:p>
        </w:tc>
      </w:tr>
      <w:tr>
        <w:tc>
          <w:tcPr>
            <w:tcW w:type="dxa" w:w="2948"/>
            <w:vAlign w:val="top"/>
          </w:tcPr>
          <w:p>
            <w:pPr>
              <w:spacing w:after="0"/>
            </w:pPr>
            <w:r>
              <w:rPr>
                <w:rFonts w:ascii="Aptos" w:hAnsi="Aptos" w:eastAsia="宋体"/>
                <w:sz w:val="18"/>
              </w:rPr>
            </w:r>
            <w:r>
              <w:rPr>
                <w:rFonts w:ascii="Aptos" w:hAnsi="Aptos" w:eastAsia="宋体"/>
                <w:b w:val="0"/>
                <w:sz w:val="18"/>
              </w:rPr>
              <w:t>2 Related Work</w:t>
            </w:r>
          </w:p>
        </w:tc>
        <w:tc>
          <w:tcPr>
            <w:tcW w:type="dxa" w:w="6576"/>
            <w:vAlign w:val="top"/>
          </w:tcPr>
          <w:p>
            <w:pPr>
              <w:spacing w:after="0"/>
            </w:pPr>
            <w:r>
              <w:rPr>
                <w:rFonts w:ascii="Aptos" w:hAnsi="Aptos" w:eastAsia="宋体"/>
                <w:sz w:val="18"/>
              </w:rPr>
            </w:r>
            <w:r>
              <w:rPr>
                <w:rFonts w:ascii="Aptos" w:hAnsi="Aptos" w:eastAsia="宋体"/>
                <w:b w:val="0"/>
                <w:sz w:val="18"/>
              </w:rPr>
              <w:t>Ontology evolution/repair；LLM ontology engineering；Neuro-symbolic reasoning；Temporal/versioned knowledge；Gap Analysis</w:t>
            </w:r>
          </w:p>
        </w:tc>
      </w:tr>
      <w:tr>
        <w:tc>
          <w:tcPr>
            <w:tcW w:type="dxa" w:w="2948"/>
            <w:vAlign w:val="top"/>
          </w:tcPr>
          <w:p>
            <w:pPr>
              <w:spacing w:after="0"/>
            </w:pPr>
            <w:r>
              <w:rPr>
                <w:rFonts w:ascii="Aptos" w:hAnsi="Aptos" w:eastAsia="宋体"/>
                <w:sz w:val="18"/>
              </w:rPr>
            </w:r>
            <w:r>
              <w:rPr>
                <w:rFonts w:ascii="Aptos" w:hAnsi="Aptos" w:eastAsia="宋体"/>
                <w:b w:val="0"/>
                <w:sz w:val="18"/>
              </w:rPr>
              <w:t>3 Problem Formulation</w:t>
            </w:r>
          </w:p>
        </w:tc>
        <w:tc>
          <w:tcPr>
            <w:tcW w:type="dxa" w:w="6576"/>
            <w:vAlign w:val="center"/>
          </w:tcPr>
          <w:p>
            <w:r>
              <w:t>六个定义、操作性修复目标、Γ支持片段、确定性与拒绝安全性Theorem、辅助Propositions/Lemma/Invariant</w:t>
            </w:r>
          </w:p>
        </w:tc>
      </w:tr>
      <w:tr>
        <w:tc>
          <w:tcPr>
            <w:tcW w:type="dxa" w:w="2948"/>
            <w:vAlign w:val="top"/>
          </w:tcPr>
          <w:p>
            <w:pPr>
              <w:spacing w:after="0"/>
            </w:pPr>
            <w:r>
              <w:rPr>
                <w:rFonts w:ascii="Aptos" w:hAnsi="Aptos" w:eastAsia="宋体"/>
                <w:sz w:val="18"/>
              </w:rPr>
            </w:r>
            <w:r>
              <w:rPr>
                <w:rFonts w:ascii="Aptos" w:hAnsi="Aptos" w:eastAsia="宋体"/>
                <w:b w:val="0"/>
                <w:sz w:val="18"/>
              </w:rPr>
              <w:t>4 ECR-Repair Framework</w:t>
            </w:r>
          </w:p>
        </w:tc>
        <w:tc>
          <w:tcPr>
            <w:tcW w:type="dxa" w:w="6576"/>
            <w:vAlign w:val="center"/>
          </w:tcPr>
          <w:p>
            <w:pPr>
              <w:spacing w:after="0"/>
            </w:pPr>
            <w:r>
              <w:rPr>
                <w:rFonts w:ascii="Aptos" w:hAnsi="Aptos" w:eastAsia="宋体"/>
                <w:sz w:val="18"/>
              </w:rPr>
              <w:t>Normative Resolver、Validated Repair IR、Deterministic Γ、Precondition Checker、Atomic Patch、Formal Verifier及外围神经—符号模块</w:t>
            </w:r>
          </w:p>
        </w:tc>
      </w:tr>
      <w:tr>
        <w:tc>
          <w:tcPr>
            <w:tcW w:type="dxa" w:w="2948"/>
            <w:vAlign w:val="top"/>
          </w:tcPr>
          <w:p>
            <w:pPr>
              <w:spacing w:after="0"/>
            </w:pPr>
            <w:r>
              <w:rPr>
                <w:rFonts w:ascii="Aptos" w:hAnsi="Aptos" w:eastAsia="宋体"/>
                <w:sz w:val="18"/>
              </w:rPr>
            </w:r>
            <w:r>
              <w:rPr>
                <w:rFonts w:ascii="Aptos" w:hAnsi="Aptos" w:eastAsia="宋体"/>
                <w:b w:val="0"/>
                <w:sz w:val="18"/>
              </w:rPr>
              <w:t>5 Benchmark Construction</w:t>
            </w:r>
          </w:p>
        </w:tc>
        <w:tc>
          <w:tcPr>
            <w:tcW w:type="dxa" w:w="6576"/>
            <w:vAlign w:val="center"/>
          </w:tcPr>
          <w:p>
            <w:r>
              <w:t>264→213数据谱系、RFC Gold Repair构造审计、支持片段冻结、外部领域试点与真实OWL子集</w:t>
            </w:r>
          </w:p>
        </w:tc>
      </w:tr>
      <w:tr>
        <w:tc>
          <w:tcPr>
            <w:tcW w:type="dxa" w:w="2948"/>
            <w:vAlign w:val="top"/>
          </w:tcPr>
          <w:p>
            <w:pPr>
              <w:spacing w:after="0"/>
            </w:pPr>
            <w:r>
              <w:rPr>
                <w:rFonts w:ascii="Aptos" w:hAnsi="Aptos" w:eastAsia="宋体"/>
                <w:sz w:val="18"/>
              </w:rPr>
            </w:r>
            <w:r>
              <w:rPr>
                <w:rFonts w:ascii="Aptos" w:hAnsi="Aptos" w:eastAsia="宋体"/>
                <w:b w:val="0"/>
                <w:sz w:val="18"/>
              </w:rPr>
              <w:t>6 Experimental Setup</w:t>
            </w:r>
          </w:p>
        </w:tc>
        <w:tc>
          <w:tcPr>
            <w:tcW w:type="dxa" w:w="6576"/>
            <w:vAlign w:val="center"/>
          </w:tcPr>
          <w:p>
            <w:r>
              <w:t>E0 Gold IR→OWL、SES主终点、Risk–Coverage约束、Baselines、功效分析与统计方法</w:t>
            </w:r>
          </w:p>
        </w:tc>
      </w:tr>
      <w:tr>
        <w:tc>
          <w:tcPr>
            <w:tcW w:type="dxa" w:w="2948"/>
            <w:vAlign w:val="top"/>
          </w:tcPr>
          <w:p>
            <w:pPr>
              <w:spacing w:after="0"/>
            </w:pPr>
            <w:r>
              <w:rPr>
                <w:rFonts w:ascii="Aptos" w:hAnsi="Aptos" w:eastAsia="宋体"/>
                <w:sz w:val="18"/>
              </w:rPr>
            </w:r>
            <w:r>
              <w:rPr>
                <w:rFonts w:ascii="Aptos" w:hAnsi="Aptos" w:eastAsia="宋体"/>
                <w:b w:val="0"/>
                <w:sz w:val="18"/>
              </w:rPr>
              <w:t>7 Results</w:t>
            </w:r>
          </w:p>
        </w:tc>
        <w:tc>
          <w:tcPr>
            <w:tcW w:type="dxa" w:w="6576"/>
            <w:vAlign w:val="top"/>
          </w:tcPr>
          <w:p>
            <w:pPr>
              <w:spacing w:after="0"/>
            </w:pPr>
            <w:r>
              <w:rPr>
                <w:rFonts w:ascii="Aptos" w:hAnsi="Aptos" w:eastAsia="宋体"/>
                <w:sz w:val="18"/>
              </w:rPr>
            </w:r>
            <w:r>
              <w:rPr>
                <w:rFonts w:ascii="Aptos" w:hAnsi="Aptos" w:eastAsia="宋体"/>
                <w:b w:val="0"/>
                <w:sz w:val="18"/>
              </w:rPr>
              <w:t>主表、动态、CQ、No-Drift、T-Box、鲁棒性、扩展性</w:t>
            </w:r>
          </w:p>
        </w:tc>
      </w:tr>
      <w:tr>
        <w:tc>
          <w:tcPr>
            <w:tcW w:type="dxa" w:w="2948"/>
            <w:vAlign w:val="top"/>
          </w:tcPr>
          <w:p>
            <w:pPr>
              <w:spacing w:after="0"/>
            </w:pPr>
            <w:r>
              <w:rPr>
                <w:rFonts w:ascii="Aptos" w:hAnsi="Aptos" w:eastAsia="宋体"/>
                <w:sz w:val="18"/>
              </w:rPr>
            </w:r>
            <w:r>
              <w:rPr>
                <w:rFonts w:ascii="Aptos" w:hAnsi="Aptos" w:eastAsia="宋体"/>
                <w:b w:val="0"/>
                <w:sz w:val="18"/>
              </w:rPr>
              <w:t>8 Analysis</w:t>
            </w:r>
          </w:p>
        </w:tc>
        <w:tc>
          <w:tcPr>
            <w:tcW w:type="dxa" w:w="6576"/>
            <w:vAlign w:val="top"/>
          </w:tcPr>
          <w:p>
            <w:pPr>
              <w:spacing w:after="0"/>
            </w:pPr>
            <w:r>
              <w:rPr>
                <w:rFonts w:ascii="Aptos" w:hAnsi="Aptos" w:eastAsia="宋体"/>
                <w:sz w:val="18"/>
              </w:rPr>
            </w:r>
            <w:r>
              <w:rPr>
                <w:rFonts w:ascii="Aptos" w:hAnsi="Aptos" w:eastAsia="宋体"/>
                <w:b w:val="0"/>
                <w:sz w:val="18"/>
              </w:rPr>
              <w:t>消融、failure cases、justification trace、cascade impact</w:t>
            </w:r>
          </w:p>
        </w:tc>
      </w:tr>
      <w:tr>
        <w:tc>
          <w:tcPr>
            <w:tcW w:type="dxa" w:w="2948"/>
            <w:vAlign w:val="top"/>
          </w:tcPr>
          <w:p>
            <w:pPr>
              <w:spacing w:after="0"/>
            </w:pPr>
            <w:r>
              <w:rPr>
                <w:rFonts w:ascii="Aptos" w:hAnsi="Aptos" w:eastAsia="宋体"/>
                <w:sz w:val="18"/>
              </w:rPr>
            </w:r>
            <w:r>
              <w:rPr>
                <w:rFonts w:ascii="Aptos" w:hAnsi="Aptos" w:eastAsia="宋体"/>
                <w:b w:val="0"/>
                <w:sz w:val="18"/>
              </w:rPr>
              <w:t>9 Discussion</w:t>
            </w:r>
          </w:p>
        </w:tc>
        <w:tc>
          <w:tcPr>
            <w:tcW w:type="dxa" w:w="6576"/>
            <w:vAlign w:val="top"/>
          </w:tcPr>
          <w:p>
            <w:pPr>
              <w:spacing w:after="0"/>
            </w:pPr>
            <w:r>
              <w:rPr>
                <w:rFonts w:ascii="Aptos" w:hAnsi="Aptos" w:eastAsia="宋体"/>
                <w:sz w:val="18"/>
              </w:rPr>
            </w:r>
            <w:r>
              <w:rPr>
                <w:rFonts w:ascii="Aptos" w:hAnsi="Aptos" w:eastAsia="宋体"/>
                <w:b w:val="0"/>
                <w:sz w:val="18"/>
              </w:rPr>
              <w:t>适用范围、expert-in-the-loop、伦理、局限</w:t>
            </w:r>
          </w:p>
        </w:tc>
      </w:tr>
      <w:tr>
        <w:tc>
          <w:tcPr>
            <w:tcW w:type="dxa" w:w="2948"/>
            <w:vAlign w:val="top"/>
          </w:tcPr>
          <w:p>
            <w:pPr>
              <w:spacing w:after="0"/>
            </w:pPr>
            <w:r>
              <w:rPr>
                <w:rFonts w:ascii="Aptos" w:hAnsi="Aptos" w:eastAsia="宋体"/>
                <w:sz w:val="18"/>
              </w:rPr>
            </w:r>
            <w:r>
              <w:rPr>
                <w:rFonts w:ascii="Aptos" w:hAnsi="Aptos" w:eastAsia="宋体"/>
                <w:b w:val="0"/>
                <w:sz w:val="18"/>
              </w:rPr>
              <w:t>10 Conclusion</w:t>
            </w:r>
          </w:p>
        </w:tc>
        <w:tc>
          <w:tcPr>
            <w:tcW w:type="dxa" w:w="6576"/>
            <w:vAlign w:val="top"/>
          </w:tcPr>
          <w:p>
            <w:pPr>
              <w:spacing w:after="0"/>
            </w:pPr>
            <w:r>
              <w:rPr>
                <w:rFonts w:ascii="Aptos" w:hAnsi="Aptos" w:eastAsia="宋体"/>
                <w:sz w:val="18"/>
              </w:rPr>
            </w:r>
            <w:r>
              <w:rPr>
                <w:rFonts w:ascii="Aptos" w:hAnsi="Aptos" w:eastAsia="宋体"/>
                <w:b w:val="0"/>
                <w:sz w:val="18"/>
              </w:rPr>
              <w:t>问题—方法—证据闭环</w:t>
            </w:r>
          </w:p>
        </w:tc>
      </w:tr>
    </w:tbl>
    <w:p/>
    <w:p>
      <w:pPr>
        <w:pStyle w:val="Heading1"/>
      </w:pPr>
      <w:r>
        <w:t>14. 实际执行路线图</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247"/>
            <w:shd w:fill="D9EAF7"/>
            <w:vAlign w:val="center"/>
          </w:tcPr>
          <w:p>
            <w:pPr>
              <w:spacing w:after="0"/>
            </w:pPr>
            <w:r>
              <w:rPr>
                <w:rFonts w:ascii="Aptos" w:hAnsi="Aptos" w:eastAsia="宋体"/>
                <w:sz w:val="18"/>
              </w:rPr>
            </w:r>
            <w:r>
              <w:rPr>
                <w:rFonts w:ascii="Aptos" w:hAnsi="Aptos" w:eastAsia="宋体"/>
                <w:b/>
                <w:sz w:val="18"/>
              </w:rPr>
              <w:t>阶段</w:t>
            </w:r>
          </w:p>
        </w:tc>
        <w:tc>
          <w:tcPr>
            <w:tcW w:type="dxa" w:w="1984"/>
            <w:shd w:fill="D9EAF7"/>
            <w:vAlign w:val="center"/>
          </w:tcPr>
          <w:p>
            <w:pPr>
              <w:spacing w:after="0"/>
            </w:pPr>
            <w:r>
              <w:rPr>
                <w:rFonts w:ascii="Aptos" w:hAnsi="Aptos" w:eastAsia="宋体"/>
                <w:sz w:val="18"/>
              </w:rPr>
            </w:r>
            <w:r>
              <w:rPr>
                <w:rFonts w:ascii="Aptos" w:hAnsi="Aptos" w:eastAsia="宋体"/>
                <w:b/>
                <w:sz w:val="18"/>
              </w:rPr>
              <w:t>目标</w:t>
            </w:r>
          </w:p>
        </w:tc>
        <w:tc>
          <w:tcPr>
            <w:tcW w:type="dxa" w:w="4252"/>
            <w:shd w:fill="D9EAF7"/>
            <w:vAlign w:val="center"/>
          </w:tcPr>
          <w:p>
            <w:pPr>
              <w:spacing w:after="0"/>
            </w:pPr>
            <w:r>
              <w:rPr>
                <w:rFonts w:ascii="Aptos" w:hAnsi="Aptos" w:eastAsia="宋体"/>
                <w:sz w:val="18"/>
              </w:rPr>
            </w:r>
            <w:r>
              <w:rPr>
                <w:rFonts w:ascii="Aptos" w:hAnsi="Aptos" w:eastAsia="宋体"/>
                <w:b/>
                <w:sz w:val="18"/>
              </w:rPr>
              <w:t>主要工作</w:t>
            </w:r>
          </w:p>
        </w:tc>
        <w:tc>
          <w:tcPr>
            <w:tcW w:type="dxa" w:w="2551"/>
            <w:shd w:fill="D9EAF7"/>
            <w:vAlign w:val="center"/>
          </w:tcPr>
          <w:p>
            <w:pPr>
              <w:spacing w:after="0"/>
            </w:pPr>
            <w:r>
              <w:rPr>
                <w:rFonts w:ascii="Aptos" w:hAnsi="Aptos" w:eastAsia="宋体"/>
                <w:sz w:val="18"/>
              </w:rPr>
            </w:r>
            <w:r>
              <w:rPr>
                <w:rFonts w:ascii="Aptos" w:hAnsi="Aptos" w:eastAsia="宋体"/>
                <w:b/>
                <w:sz w:val="18"/>
              </w:rPr>
              <w:t>验收标准</w:t>
            </w:r>
          </w:p>
        </w:tc>
      </w:tr>
      <w:tr>
        <w:tc>
          <w:tcPr>
            <w:tcW w:type="dxa" w:w="1247"/>
            <w:vAlign w:val="top"/>
          </w:tcPr>
          <w:p>
            <w:pPr>
              <w:spacing w:after="0"/>
            </w:pPr>
            <w:r>
              <w:rPr>
                <w:rFonts w:ascii="Aptos" w:hAnsi="Aptos" w:eastAsia="宋体"/>
                <w:sz w:val="18"/>
              </w:rPr>
            </w:r>
            <w:r>
              <w:rPr>
                <w:rFonts w:ascii="Aptos" w:hAnsi="Aptos" w:eastAsia="宋体"/>
                <w:b w:val="0"/>
                <w:sz w:val="18"/>
              </w:rPr>
              <w:t>Phase 0</w:t>
            </w:r>
          </w:p>
        </w:tc>
        <w:tc>
          <w:tcPr>
            <w:tcW w:type="dxa" w:w="1984"/>
            <w:vAlign w:val="center"/>
          </w:tcPr>
          <w:p>
            <w:r>
              <w:t>RFC口径与构造冻结</w:t>
            </w:r>
          </w:p>
        </w:tc>
        <w:tc>
          <w:tcPr>
            <w:tcW w:type="dxa" w:w="4252"/>
            <w:vAlign w:val="center"/>
          </w:tcPr>
          <w:p>
            <w:r>
              <w:t>完成264→213逐事件谱系；审计213个Gold Repair的operation/axiom type/前置条件分布；冻结3–5个高覆盖构造及manifest</w:t>
            </w:r>
          </w:p>
        </w:tc>
        <w:tc>
          <w:tcPr>
            <w:tcW w:type="dxa" w:w="2551"/>
            <w:vAlign w:val="center"/>
          </w:tcPr>
          <w:p>
            <w:r>
              <w:t>51个差额可追溯；Construct Coverage透明；支持集合在实现前冻结</w:t>
            </w:r>
          </w:p>
        </w:tc>
      </w:tr>
      <w:tr>
        <w:tc>
          <w:tcPr>
            <w:tcW w:type="dxa" w:w="1247"/>
            <w:vAlign w:val="top"/>
          </w:tcPr>
          <w:p>
            <w:pPr>
              <w:spacing w:after="0"/>
            </w:pPr>
            <w:r>
              <w:rPr>
                <w:rFonts w:ascii="Aptos" w:hAnsi="Aptos" w:eastAsia="宋体"/>
                <w:sz w:val="18"/>
              </w:rPr>
            </w:r>
            <w:r>
              <w:rPr>
                <w:rFonts w:ascii="Aptos" w:hAnsi="Aptos" w:eastAsia="宋体"/>
                <w:b w:val="0"/>
                <w:sz w:val="18"/>
              </w:rPr>
              <w:t>Phase 1</w:t>
            </w:r>
          </w:p>
        </w:tc>
        <w:tc>
          <w:tcPr>
            <w:tcW w:type="dxa" w:w="1984"/>
            <w:vAlign w:val="center"/>
          </w:tcPr>
          <w:p>
            <w:pPr>
              <w:spacing w:after="0"/>
            </w:pPr>
            <w:r>
              <w:rPr>
                <w:rFonts w:ascii="Aptos" w:hAnsi="Aptos" w:eastAsia="宋体"/>
                <w:sz w:val="18"/>
              </w:rPr>
              <w:t>最小确定性Γ</w:t>
            </w:r>
          </w:p>
        </w:tc>
        <w:tc>
          <w:tcPr>
            <w:tcW w:type="dxa" w:w="4252"/>
            <w:vAlign w:val="center"/>
          </w:tcPr>
          <w:p>
            <w:r>
              <w:t>实现Validated Repair IR Schema、Canonicalizer、穷举switch/match、Precondition Checker、OWL AST patch与失败原子化事务</w:t>
            </w:r>
          </w:p>
        </w:tc>
        <w:tc>
          <w:tcPr>
            <w:tcW w:type="dxa" w:w="2551"/>
            <w:vAlign w:val="center"/>
          </w:tcPr>
          <w:p>
            <w:pPr>
              <w:spacing w:after="0"/>
            </w:pPr>
            <w:r>
              <w:rPr>
                <w:rFonts w:ascii="Aptos" w:hAnsi="Aptos" w:eastAsia="宋体"/>
                <w:sz w:val="18"/>
              </w:rPr>
              <w:t>无LLM/检索/随机性；相同输入产生相同输出；非COMPILED为空补丁</w:t>
            </w:r>
          </w:p>
        </w:tc>
      </w:tr>
      <w:tr>
        <w:tc>
          <w:tcPr>
            <w:tcW w:type="dxa" w:w="1247"/>
            <w:vAlign w:val="top"/>
          </w:tcPr>
          <w:p>
            <w:pPr>
              <w:spacing w:after="0"/>
            </w:pPr>
            <w:r>
              <w:rPr>
                <w:rFonts w:ascii="Aptos" w:hAnsi="Aptos" w:eastAsia="宋体"/>
                <w:sz w:val="18"/>
              </w:rPr>
            </w:r>
            <w:r>
              <w:rPr>
                <w:rFonts w:ascii="Aptos" w:hAnsi="Aptos" w:eastAsia="宋体"/>
                <w:b w:val="0"/>
                <w:sz w:val="18"/>
              </w:rPr>
              <w:t>Phase 2</w:t>
            </w:r>
          </w:p>
        </w:tc>
        <w:tc>
          <w:tcPr>
            <w:tcW w:type="dxa" w:w="1984"/>
            <w:vAlign w:val="center"/>
          </w:tcPr>
          <w:p>
            <w:pPr>
              <w:spacing w:after="0"/>
            </w:pPr>
            <w:r>
              <w:rPr>
                <w:rFonts w:ascii="Aptos" w:hAnsi="Aptos" w:eastAsia="宋体"/>
                <w:sz w:val="18"/>
              </w:rPr>
              <w:t>Γ证明与E0验证</w:t>
            </w:r>
          </w:p>
        </w:tc>
        <w:tc>
          <w:tcPr>
            <w:tcW w:type="dxa" w:w="4252"/>
            <w:vAlign w:val="center"/>
          </w:tcPr>
          <w:p>
            <w:r>
              <w:rPr>
                <w:rFonts w:ascii="Aptos" w:hAnsi="Aptos" w:eastAsia="宋体"/>
                <w:sz w:val="18"/>
              </w:rPr>
              <w:t>完成Determinism与Failure-Atomic Rejection Safety证明；运行Gold IR→OWL单元、语义、边界和拒绝测试</w:t>
            </w:r>
          </w:p>
        </w:tc>
        <w:tc>
          <w:tcPr>
            <w:tcW w:type="dxa" w:w="2551"/>
            <w:vAlign w:val="center"/>
          </w:tcPr>
          <w:p>
            <w:r>
              <w:rPr>
                <w:rFonts w:ascii="Aptos" w:hAnsi="Aptos" w:eastAsia="宋体"/>
                <w:sz w:val="18"/>
              </w:rPr>
              <w:t>Determinism=100%；Rejection Safety=100%；Unsafe Compilation=0；E0通过</w:t>
            </w:r>
          </w:p>
        </w:tc>
      </w:tr>
      <w:tr>
        <w:tc>
          <w:tcPr>
            <w:tcW w:type="dxa" w:w="1247"/>
            <w:vAlign w:val="top"/>
          </w:tcPr>
          <w:p>
            <w:pPr>
              <w:spacing w:after="0"/>
            </w:pPr>
            <w:r>
              <w:rPr>
                <w:rFonts w:ascii="Aptos" w:hAnsi="Aptos" w:eastAsia="宋体"/>
                <w:sz w:val="18"/>
              </w:rPr>
            </w:r>
            <w:r>
              <w:rPr>
                <w:rFonts w:ascii="Aptos" w:hAnsi="Aptos" w:eastAsia="宋体"/>
                <w:b w:val="0"/>
                <w:sz w:val="18"/>
              </w:rPr>
              <w:t>Phase 3</w:t>
            </w:r>
          </w:p>
        </w:tc>
        <w:tc>
          <w:tcPr>
            <w:tcW w:type="dxa" w:w="1984"/>
            <w:vAlign w:val="center"/>
          </w:tcPr>
          <w:p>
            <w:pPr>
              <w:spacing w:after="0"/>
            </w:pPr>
            <w:r>
              <w:rPr>
                <w:rFonts w:ascii="Aptos" w:hAnsi="Aptos" w:eastAsia="宋体"/>
                <w:sz w:val="18"/>
              </w:rPr>
              <w:t>RFC 213确认性主实验</w:t>
            </w:r>
          </w:p>
        </w:tc>
        <w:tc>
          <w:tcPr>
            <w:tcW w:type="dxa" w:w="4252"/>
            <w:vAlign w:val="center"/>
          </w:tcPr>
          <w:p>
            <w:r>
              <w:rPr>
                <w:rFonts w:ascii="Aptos" w:hAnsi="Aptos" w:eastAsia="宋体"/>
                <w:sz w:val="18"/>
              </w:rPr>
              <w:t>接入Retriever、Resolver与Decision；运行强baseline、核心消融、SES、Full-Ontology CQ、No-Drift与纵向实验</w:t>
            </w:r>
          </w:p>
        </w:tc>
        <w:tc>
          <w:tcPr>
            <w:tcW w:type="dxa" w:w="2551"/>
            <w:vAlign w:val="center"/>
          </w:tcPr>
          <w:p>
            <w:r>
              <w:rPr>
                <w:rFonts w:ascii="Aptos" w:hAnsi="Aptos" w:eastAsia="宋体"/>
                <w:sz w:val="18"/>
              </w:rPr>
              <w:t>按预注册协议完整重跑；旧264/v1/v2结果不复用</w:t>
            </w:r>
          </w:p>
        </w:tc>
      </w:tr>
      <w:tr>
        <w:tc>
          <w:tcPr>
            <w:tcW w:type="dxa" w:w="1247"/>
            <w:vAlign w:val="top"/>
          </w:tcPr>
          <w:p>
            <w:pPr>
              <w:spacing w:after="0"/>
            </w:pPr>
            <w:r>
              <w:rPr>
                <w:rFonts w:ascii="Aptos" w:hAnsi="Aptos" w:eastAsia="宋体"/>
                <w:sz w:val="18"/>
              </w:rPr>
            </w:r>
            <w:r>
              <w:rPr>
                <w:rFonts w:ascii="Aptos" w:hAnsi="Aptos" w:eastAsia="宋体"/>
                <w:b w:val="0"/>
                <w:sz w:val="18"/>
              </w:rPr>
              <w:t>Phase 4</w:t>
            </w:r>
          </w:p>
        </w:tc>
        <w:tc>
          <w:tcPr>
            <w:tcW w:type="dxa" w:w="1984"/>
            <w:vAlign w:val="center"/>
          </w:tcPr>
          <w:p>
            <w:pPr>
              <w:spacing w:after="0"/>
            </w:pPr>
            <w:r>
              <w:rPr>
                <w:rFonts w:ascii="Aptos" w:hAnsi="Aptos" w:eastAsia="宋体"/>
                <w:sz w:val="18"/>
              </w:rPr>
              <w:t>复杂T-Box与编译扩展</w:t>
            </w:r>
          </w:p>
        </w:tc>
        <w:tc>
          <w:tcPr>
            <w:tcW w:type="dxa" w:w="4252"/>
            <w:vAlign w:val="center"/>
          </w:tcPr>
          <w:p>
            <w:r>
              <w:t>按失败与覆盖缺口决定是否扩展IR构造；40–60个复杂公理事件；Axiom Diff与locality验证</w:t>
            </w:r>
          </w:p>
        </w:tc>
        <w:tc>
          <w:tcPr>
            <w:tcW w:type="dxa" w:w="2551"/>
            <w:vAlign w:val="center"/>
          </w:tcPr>
          <w:p>
            <w:pPr>
              <w:spacing w:after="0"/>
            </w:pPr>
            <w:r>
              <w:rPr>
                <w:rFonts w:ascii="Aptos" w:hAnsi="Aptos" w:eastAsia="宋体"/>
                <w:sz w:val="18"/>
              </w:rPr>
              <w:t>新增构造递增版本并重跑全部E0测试</w:t>
            </w:r>
          </w:p>
        </w:tc>
      </w:tr>
      <w:tr>
        <w:tc>
          <w:tcPr>
            <w:tcW w:type="dxa" w:w="1247"/>
            <w:vAlign w:val="top"/>
          </w:tcPr>
          <w:p>
            <w:pPr>
              <w:spacing w:after="0"/>
            </w:pPr>
            <w:r>
              <w:rPr>
                <w:rFonts w:ascii="Aptos" w:hAnsi="Aptos" w:eastAsia="宋体"/>
                <w:sz w:val="18"/>
              </w:rPr>
            </w:r>
            <w:r>
              <w:rPr>
                <w:rFonts w:ascii="Aptos" w:hAnsi="Aptos" w:eastAsia="宋体"/>
                <w:b w:val="0"/>
                <w:sz w:val="18"/>
              </w:rPr>
              <w:t>Phase 5</w:t>
            </w:r>
          </w:p>
        </w:tc>
        <w:tc>
          <w:tcPr>
            <w:tcW w:type="dxa" w:w="1984"/>
            <w:vAlign w:val="center"/>
          </w:tcPr>
          <w:p>
            <w:pPr>
              <w:spacing w:after="0"/>
            </w:pPr>
            <w:r>
              <w:rPr>
                <w:rFonts w:ascii="Aptos" w:hAnsi="Aptos" w:eastAsia="宋体"/>
                <w:sz w:val="18"/>
              </w:rPr>
              <w:t>保险与医疗试点</w:t>
            </w:r>
          </w:p>
        </w:tc>
        <w:tc>
          <w:tcPr>
            <w:tcW w:type="dxa" w:w="4252"/>
            <w:vAlign w:val="center"/>
          </w:tcPr>
          <w:p>
            <w:r>
              <w:rPr>
                <w:rFonts w:ascii="Aptos" w:hAnsi="Aptos" w:eastAsia="宋体"/>
                <w:sz w:val="18"/>
              </w:rPr>
              <w:t>每领域60–100个独立事件；双专家标注；估计discordant pairs、聚类、成本与迁移覆盖率</w:t>
            </w:r>
          </w:p>
        </w:tc>
        <w:tc>
          <w:tcPr>
            <w:tcW w:type="dxa" w:w="2551"/>
            <w:vAlign w:val="center"/>
          </w:tcPr>
          <w:p>
            <w:pPr>
              <w:spacing w:after="0"/>
            </w:pPr>
            <w:r>
              <w:rPr>
                <w:rFonts w:ascii="Aptos" w:hAnsi="Aptos" w:eastAsia="宋体"/>
                <w:sz w:val="18"/>
              </w:rPr>
              <w:t>试点质量与功效报告完成，不以模板复制凑数</w:t>
            </w:r>
          </w:p>
        </w:tc>
      </w:tr>
      <w:tr>
        <w:tc>
          <w:tcPr>
            <w:tcW w:type="dxa" w:w="1247"/>
            <w:vAlign w:val="top"/>
          </w:tcPr>
          <w:p>
            <w:pPr>
              <w:spacing w:after="0"/>
            </w:pPr>
            <w:r>
              <w:rPr>
                <w:rFonts w:ascii="Aptos" w:hAnsi="Aptos" w:eastAsia="宋体"/>
                <w:sz w:val="18"/>
              </w:rPr>
            </w:r>
            <w:r>
              <w:rPr>
                <w:rFonts w:ascii="Aptos" w:hAnsi="Aptos" w:eastAsia="宋体"/>
                <w:b w:val="0"/>
                <w:sz w:val="18"/>
              </w:rPr>
              <w:t>Phase 6</w:t>
            </w:r>
          </w:p>
        </w:tc>
        <w:tc>
          <w:tcPr>
            <w:tcW w:type="dxa" w:w="1984"/>
            <w:vAlign w:val="center"/>
          </w:tcPr>
          <w:p>
            <w:pPr>
              <w:spacing w:after="0"/>
            </w:pPr>
            <w:r>
              <w:rPr>
                <w:rFonts w:ascii="Aptos" w:hAnsi="Aptos" w:eastAsia="宋体"/>
                <w:sz w:val="18"/>
              </w:rPr>
              <w:t>功效驱动跨领域扩展</w:t>
            </w:r>
          </w:p>
        </w:tc>
        <w:tc>
          <w:tcPr>
            <w:tcW w:type="dxa" w:w="4252"/>
            <w:vAlign w:val="center"/>
          </w:tcPr>
          <w:p>
            <w:r>
              <w:t>根据预注册功效分析决定外部领域最终规模；执行专家评估、真实OWL验证和统计复核</w:t>
            </w:r>
          </w:p>
        </w:tc>
        <w:tc>
          <w:tcPr>
            <w:tcW w:type="dxa" w:w="2551"/>
            <w:vAlign w:val="center"/>
          </w:tcPr>
          <w:p>
            <w:pPr>
              <w:spacing w:after="0"/>
            </w:pPr>
            <w:r>
              <w:rPr>
                <w:rFonts w:ascii="Aptos" w:hAnsi="Aptos" w:eastAsia="宋体"/>
                <w:sz w:val="18"/>
              </w:rPr>
              <w:t>功效不足则明确降为探索性结论</w:t>
            </w:r>
          </w:p>
        </w:tc>
      </w:tr>
      <w:tr>
        <w:tc>
          <w:tcPr>
            <w:tcW w:type="dxa" w:w="1247"/>
            <w:vAlign w:val="top"/>
          </w:tcPr>
          <w:p>
            <w:pPr>
              <w:spacing w:after="0"/>
            </w:pPr>
            <w:r>
              <w:rPr>
                <w:rFonts w:ascii="Aptos" w:hAnsi="Aptos" w:eastAsia="宋体"/>
                <w:sz w:val="18"/>
              </w:rPr>
            </w:r>
            <w:r>
              <w:rPr>
                <w:rFonts w:ascii="Aptos" w:hAnsi="Aptos" w:eastAsia="宋体"/>
                <w:b w:val="0"/>
                <w:sz w:val="18"/>
              </w:rPr>
              <w:t>Phase 7</w:t>
            </w:r>
          </w:p>
        </w:tc>
        <w:tc>
          <w:tcPr>
            <w:tcW w:type="dxa" w:w="1984"/>
            <w:vAlign w:val="center"/>
          </w:tcPr>
          <w:p>
            <w:pPr>
              <w:spacing w:after="0"/>
            </w:pPr>
            <w:r>
              <w:rPr>
                <w:rFonts w:ascii="Aptos" w:hAnsi="Aptos" w:eastAsia="宋体"/>
                <w:sz w:val="18"/>
              </w:rPr>
              <w:t>写作与投稿</w:t>
            </w:r>
          </w:p>
        </w:tc>
        <w:tc>
          <w:tcPr>
            <w:tcW w:type="dxa" w:w="4252"/>
            <w:vAlign w:val="center"/>
          </w:tcPr>
          <w:p>
            <w:pPr>
              <w:spacing w:after="0"/>
            </w:pPr>
            <w:r>
              <w:rPr>
                <w:rFonts w:ascii="Aptos" w:hAnsi="Aptos" w:eastAsia="宋体"/>
                <w:sz w:val="18"/>
              </w:rPr>
              <w:t>按Compiler-First主线重构全文，核验claim—proof—test—evidence对应关系</w:t>
            </w:r>
          </w:p>
        </w:tc>
        <w:tc>
          <w:tcPr>
            <w:tcW w:type="dxa" w:w="2551"/>
            <w:vAlign w:val="center"/>
          </w:tcPr>
          <w:p>
            <w:pPr>
              <w:spacing w:after="0"/>
            </w:pPr>
            <w:r>
              <w:rPr>
                <w:rFonts w:ascii="Aptos" w:hAnsi="Aptos" w:eastAsia="宋体"/>
                <w:sz w:val="18"/>
              </w:rPr>
              <w:t>Γ核心证据闭环，数据口径与局限透明</w:t>
            </w:r>
          </w:p>
        </w:tc>
      </w:tr>
    </w:tbl>
    <w:p/>
    <w:p>
      <w:pPr>
        <w:pStyle w:val="Heading2"/>
      </w:pPr>
      <w:r>
        <w:rPr>
          <w:rFonts w:ascii="Aptos" w:hAnsi="Aptos" w:eastAsia="黑体"/>
          <w:b w:val="0"/>
          <w:i w:val="0"/>
          <w:sz w:val="21"/>
        </w:rPr>
        <w:t>14.1 Reproducibility Gate</w:t>
      </w:r>
    </w:p>
    <w:p>
      <w:r>
        <w:rPr>
          <w:rFonts w:ascii="Aptos" w:hAnsi="Aptos" w:eastAsia="宋体"/>
          <w:b w:val="0"/>
          <w:i w:val="0"/>
          <w:sz w:val="21"/>
        </w:rPr>
        <w:t>V1.7将可复现性提升为投稿前硬门槛。所有核心实验必须披露或归档以下信息，使第三方无需依赖未记录假设即可重现实验流程。</w:t>
      </w:r>
    </w:p>
    <w:p>
      <w:pPr>
        <w:ind w:left="360"/>
      </w:pPr>
      <w:r>
        <w:rPr>
          <w:rFonts w:ascii="Aptos" w:hAnsi="Aptos" w:eastAsia="宋体"/>
          <w:b w:val="0"/>
          <w:i w:val="0"/>
          <w:sz w:val="21"/>
        </w:rPr>
        <w:t>• 模型：provider、exact model name、snapshot/version ID；本地模型记录checkpoint hash/SHA与tokenizer版本。</w:t>
      </w:r>
    </w:p>
    <w:p>
      <w:pPr>
        <w:ind w:left="360"/>
      </w:pPr>
      <w:r>
        <w:rPr>
          <w:rFonts w:ascii="Aptos" w:hAnsi="Aptos" w:eastAsia="宋体"/>
          <w:b w:val="0"/>
          <w:i w:val="0"/>
          <w:sz w:val="21"/>
        </w:rPr>
        <w:t>• 推理参数：temperature、top_p、max_tokens、seed（若支持）、response format、stop条件。</w:t>
      </w:r>
    </w:p>
    <w:p>
      <w:pPr>
        <w:ind w:left="360"/>
      </w:pPr>
      <w:r>
        <w:rPr>
          <w:rFonts w:ascii="Aptos" w:hAnsi="Aptos" w:eastAsia="宋体"/>
          <w:b w:val="0"/>
          <w:i w:val="0"/>
          <w:sz w:val="21"/>
        </w:rPr>
        <w:t>• Prompt：System Prompt、User Prompt模板、Semantic IR模板、verifier prompt、retry/feedback prompt完整保存。</w:t>
      </w:r>
    </w:p>
    <w:p>
      <w:pPr>
        <w:ind w:left="360"/>
      </w:pPr>
      <w:r>
        <w:rPr>
          <w:rFonts w:ascii="Aptos" w:hAnsi="Aptos" w:eastAsia="宋体"/>
          <w:b w:val="0"/>
          <w:i w:val="0"/>
          <w:sz w:val="21"/>
        </w:rPr>
        <w:t>• API策略：timeout、retry count、backoff、malformed JSON处理、rate-limit处理与基础设施失败判定。</w:t>
      </w:r>
    </w:p>
    <w:p>
      <w:pPr>
        <w:ind w:left="360"/>
      </w:pPr>
      <w:r>
        <w:rPr>
          <w:rFonts w:ascii="Aptos" w:hAnsi="Aptos" w:eastAsia="宋体"/>
          <w:b w:val="0"/>
          <w:i w:val="0"/>
          <w:sz w:val="21"/>
        </w:rPr>
        <w:t>• 符号栈：OWL API/RDF库版本、reasoner及版本、serialization format、canonicalization规则、locality module配置、B_eq预算。</w:t>
      </w:r>
    </w:p>
    <w:p>
      <w:pPr>
        <w:ind w:left="360"/>
      </w:pPr>
      <w:r>
        <w:rPr>
          <w:rFonts w:ascii="Aptos" w:hAnsi="Aptos" w:eastAsia="宋体"/>
          <w:b w:val="0"/>
          <w:i w:val="0"/>
          <w:sz w:val="21"/>
        </w:rPr>
        <w:t>• 实验环境：Python版本、依赖lockfile、OS、CPU/GPU、Git commit、dataset manifest hash、experiment config hash。</w:t>
      </w:r>
    </w:p>
    <w:p>
      <w:pPr>
        <w:pStyle w:val="Heading3"/>
      </w:pPr>
      <w:r>
        <w:rPr>
          <w:rFonts w:ascii="Aptos" w:hAnsi="Aptos" w:eastAsia="黑体"/>
          <w:b w:val="0"/>
          <w:i w:val="0"/>
          <w:sz w:val="21"/>
        </w:rPr>
        <w:t>Run Manifest（每次实验强制）</w:t>
      </w:r>
    </w:p>
    <w:p>
      <w:r>
        <w:rPr>
          <w:rFonts w:ascii="Aptos" w:hAnsi="Aptos" w:eastAsia="宋体"/>
          <w:b w:val="0"/>
          <w:i w:val="0"/>
          <w:sz w:val="21"/>
        </w:rPr>
        <w:t>每个正式run必须产生不可变Run Manifest，将论文表格中的每一个结果追溯到唯一的代码、数据、模型、Prompt和配置版本。</w:t>
      </w:r>
    </w:p>
    <w:p>
      <w:pPr>
        <w:pStyle w:val="EquationBlock"/>
        <w:jc w:val="center"/>
      </w:pPr>
      <w:r>
        <w:rPr>
          <w:rFonts w:ascii="Cambria Math" w:hAnsi="Cambria Math" w:eastAsia="Cambria Math"/>
          <w:b w:val="0"/>
          <w:i w:val="0"/>
          <w:sz w:val="21"/>
        </w:rPr>
        <w:t>run_id | git_commit | dataset_hash | model_snapshot | prompt_hash | config_hash | reasoner_version | timestamp</w:t>
      </w:r>
    </w:p>
    <w:p>
      <w:pPr>
        <w:pStyle w:val="EquationBlock"/>
        <w:jc w:val="center"/>
      </w:pPr>
      <w:r>
        <w:rPr>
          <w:rFonts w:ascii="Cambria Math" w:hAnsi="Cambria Math" w:eastAsia="Cambria Math"/>
          <w:b w:val="0"/>
          <w:i w:val="0"/>
          <w:sz w:val="21"/>
        </w:rPr>
        <w:t>Result → Run Manifest → Code / Data / Prompt / Model / Symbolic Stack</w:t>
      </w:r>
    </w:p>
    <w:p>
      <w:pPr>
        <w:pStyle w:val="Heading2"/>
      </w:pPr>
      <w:r>
        <w:rPr>
          <w:rFonts w:ascii="Aptos" w:hAnsi="Aptos" w:eastAsia="黑体"/>
          <w:b w:val="0"/>
          <w:i w:val="0"/>
          <w:sz w:val="21"/>
        </w:rPr>
        <w:t>14.2 Experiment Immutability Gate</w:t>
      </w:r>
    </w:p>
    <w:p>
      <w:r>
        <w:rPr>
          <w:rFonts w:ascii="Aptos" w:hAnsi="Aptos" w:eastAsia="宋体"/>
          <w:b w:val="0"/>
          <w:i w:val="0"/>
          <w:sz w:val="21"/>
        </w:rPr>
        <w:t>开发集用于Prompt、阈值和模块配置选择；测试集在freeze后不得用于继续调参。测试集中发现失败案例后若修改方法、Prompt、候选构造或阈值，必须形成新的实验版本并重新运行完整测试，而不能只重跑失败样本。</w:t>
      </w:r>
    </w:p>
    <w:p>
      <w:pPr>
        <w:pStyle w:val="EquationBlock"/>
        <w:jc w:val="center"/>
      </w:pPr>
      <w:r>
        <w:rPr>
          <w:rFonts w:ascii="Cambria Math" w:hAnsi="Cambria Math" w:eastAsia="Cambria Math"/>
          <w:b w:val="0"/>
          <w:i w:val="0"/>
          <w:sz w:val="21"/>
        </w:rPr>
        <w:t>Train/Dev → Freeze → Test</w:t>
      </w:r>
    </w:p>
    <w:p>
      <w:pPr>
        <w:pStyle w:val="EquationBlock"/>
        <w:jc w:val="center"/>
      </w:pPr>
      <w:r>
        <w:rPr>
          <w:rFonts w:ascii="Cambria Math" w:hAnsi="Cambria Math" w:eastAsia="Cambria Math"/>
          <w:b w:val="0"/>
          <w:i w:val="0"/>
          <w:sz w:val="21"/>
        </w:rPr>
        <w:t>Test ⇏ Prompt/Threshold Tuning</w:t>
      </w:r>
    </w:p>
    <w:p>
      <w:r>
        <w:rPr>
          <w:rFonts w:ascii="Aptos" w:hAnsi="Aptos" w:eastAsia="宋体"/>
          <w:b w:val="0"/>
          <w:i w:val="0"/>
          <w:sz w:val="21"/>
        </w:rPr>
        <w:t>冻结内容至少包括：dataset manifest、split、candidate generation policy、Prompt hashes、thresholds、model snapshot、code commit和evaluation script hash。任何冻结后的变化都必须递增实验版本号并留下变更记录。</w:t>
      </w:r>
    </w:p>
    <w:p>
      <w:pPr>
        <w:pStyle w:val="Heading2"/>
      </w:pPr>
      <w:r>
        <w:rPr>
          <w:rFonts w:ascii="Aptos" w:hAnsi="Aptos" w:eastAsia="黑体"/>
          <w:b w:val="0"/>
          <w:i w:val="0"/>
          <w:sz w:val="21"/>
        </w:rPr>
        <w:t>14.3 Statistical &amp; Method Pre-registration Gate</w:t>
      </w:r>
    </w:p>
    <w:p>
      <w:r>
        <w:rPr>
          <w:rFonts w:ascii="Aptos" w:hAnsi="Aptos" w:eastAsia="宋体"/>
          <w:b w:val="0"/>
          <w:i w:val="0"/>
          <w:sz w:val="21"/>
        </w:rPr>
        <w:t>在正式Test前冻结统计与方法选择协议：SES主终点定义、MDE/power假设、配对检验、source/chain聚类CI、多重比较策略、Symbolic Feedback保留阈值、abstention阈值、候选构造策略和主要分析脚本。Test结果不得用于选择“哪一个版本的方法”作为主方法。</w:t>
      </w:r>
    </w:p>
    <w:p>
      <w:pPr>
        <w:pStyle w:val="EquationBlock"/>
        <w:jc w:val="center"/>
      </w:pPr>
      <w:r>
        <w:rPr>
          <w:rFonts w:ascii="Cambria Math" w:hAnsi="Cambria Math" w:eastAsia="Cambria Math"/>
          <w:b w:val="0"/>
          <w:i w:val="0"/>
          <w:sz w:val="21"/>
        </w:rPr>
        <w:t>Dev → Statistical/Architecture Freeze → Locked Test</w:t>
      </w:r>
    </w:p>
    <w:p>
      <w:r>
        <w:rPr>
          <w:rFonts w:ascii="Aptos" w:hAnsi="Aptos" w:eastAsia="宋体"/>
          <w:b w:val="0"/>
          <w:i w:val="0"/>
          <w:sz w:val="21"/>
        </w:rPr>
        <w:t>若冻结后改变方法结构或主要统计终点，必须递增实验版本、记录原因并完整重跑，而不能沿用旧Test结果。</w:t>
      </w:r>
    </w:p>
    <w:p>
      <w:pPr>
        <w:pStyle w:val="Heading1"/>
      </w:pPr>
      <w:r>
        <w:t>15. 一区投稿前硬性验收清单</w:t>
      </w:r>
    </w:p>
    <w:p>
      <w:r>
        <w:rPr>
          <w:b/>
        </w:rPr>
        <w:t xml:space="preserve">01. </w:t>
      </w:r>
      <w:r>
        <w:t>研究问题能够用一个正式任务定义说清楚，且不是一般ontology repair的重复表述。</w:t>
      </w:r>
    </w:p>
    <w:p>
      <w:r>
        <w:rPr>
          <w:b/>
        </w:rPr>
        <w:t xml:space="preserve">02. </w:t>
      </w:r>
      <w:r>
        <w:t>“Dynamic”由真实连续版本链实验支撑，而非只出现在标题和引言。</w:t>
      </w:r>
    </w:p>
    <w:p>
      <w:r>
        <w:rPr>
          <w:b/>
        </w:rPr>
        <w:t xml:space="preserve">03. </w:t>
      </w:r>
      <w:r>
        <w:t>“Neuro-Symbolic”至少包含神经理解、结构化IR、显式符号约束和形式验证，不是简单串联标签。</w:t>
      </w:r>
    </w:p>
    <w:p>
      <w:r>
        <w:rPr>
          <w:b/>
        </w:rPr>
        <w:t xml:space="preserve">04. </w:t>
      </w:r>
      <w:r>
        <w:t>候选隔离有信息流定义并通过置换、候选池扩大等实验验证。</w:t>
      </w:r>
    </w:p>
    <w:p>
      <w:r>
        <w:rPr>
          <w:b/>
        </w:rPr>
        <w:t>05. No-Drift负例以NO_CHANGE为唯一正确状态，能够量化系统误修复率；ABSTAIN不得冒充正确无变化判断。</w:t>
      </w:r>
    </w:p>
    <w:p>
      <w:r>
        <w:rPr>
          <w:b/>
        </w:rPr>
        <w:t xml:space="preserve">06. </w:t>
      </w:r>
      <w:r>
        <w:t>旧本体逻辑一致但CQ错误，修复后CQ恢复，形成核心价值闭环。</w:t>
      </w:r>
    </w:p>
    <w:p>
      <w:r>
        <w:rPr>
          <w:b/>
        </w:rPr>
        <w:t xml:space="preserve">07. </w:t>
      </w:r>
      <w:r>
        <w:t>至少一个复杂T-Box子基准证明方法不局限于简单值替换。</w:t>
      </w:r>
    </w:p>
    <w:p>
      <w:r>
        <w:rPr>
          <w:b/>
        </w:rPr>
        <w:t xml:space="preserve">08. </w:t>
      </w:r>
      <w:r>
        <w:t>强baseline覆盖Symbolic-only、Direct LLM、RAG、E2E生成与预算匹配版本。</w:t>
      </w:r>
    </w:p>
    <w:p>
      <w:r>
        <w:rPr>
          <w:b/>
        </w:rPr>
        <w:t xml:space="preserve">09. </w:t>
      </w:r>
      <w:r>
        <w:t>所有LLM方法报告调用次数、token、时间和成本。</w:t>
      </w:r>
    </w:p>
    <w:p>
      <w:r>
        <w:rPr>
          <w:rFonts w:ascii="Aptos" w:hAnsi="Aptos" w:eastAsia="宋体"/>
          <w:b w:val="0"/>
          <w:i w:val="0"/>
          <w:sz w:val="21"/>
        </w:rPr>
        <w:t>10. 连续版本实验实施Future Evidence Isolation，并分别报告Source-Original与Repaired-Trajectory协议、Propagation Gap、链成功率、错误累积与历史状态保留，不使用“灾难性遗忘”误称。</w:t>
      </w:r>
    </w:p>
    <w:p>
      <w:r>
        <w:rPr>
          <w:b/>
        </w:rPr>
        <w:t>11. 证据冲突、证据不足、IRI失败、novelty都能触发ABSTAIN或人工复核；NO_CHANGE与ABSTAIN在输出、日志和指标中完全分离。</w:t>
      </w:r>
    </w:p>
    <w:p>
      <w:r>
        <w:rPr>
          <w:b/>
        </w:rPr>
        <w:t xml:space="preserve">12. </w:t>
      </w:r>
      <w:r>
        <w:t>API超时、网络错误和语义错误完全分离。</w:t>
      </w:r>
    </w:p>
    <w:p>
      <w:r>
        <w:rPr>
          <w:b/>
        </w:rPr>
        <w:t xml:space="preserve">13. </w:t>
      </w:r>
      <w:r>
        <w:t>真实数据全部可追溯，至少双人独立标注并报告一致性。</w:t>
      </w:r>
    </w:p>
    <w:p>
      <w:r>
        <w:rPr>
          <w:b/>
        </w:rPr>
        <w:t xml:space="preserve">14. </w:t>
      </w:r>
      <w:r>
        <w:t>公开文档预训练污染通过paraphrase、entity renaming和低词汇重叠子集控制。</w:t>
      </w:r>
    </w:p>
    <w:p>
      <w:r>
        <w:rPr>
          <w:rFonts w:ascii="Aptos" w:hAnsi="Aptos" w:eastAsia="宋体"/>
          <w:b w:val="0"/>
          <w:i w:val="0"/>
          <w:sz w:val="21"/>
        </w:rPr>
        <w:t>15. 形式验证包含locality module、Candidate/Confirmed Semantic-Aware Axiom Diff、resource-bounded equivalence与CQ回归，而不是只做Reasoner consistency或原始字符串差分。</w:t>
      </w:r>
    </w:p>
    <w:p>
      <w:r>
        <w:rPr>
          <w:b/>
        </w:rPr>
        <w:t xml:space="preserve">16. </w:t>
      </w:r>
      <w:r>
        <w:t>高风险领域明确Expert-in-the-loop，不声称100%自动部署。</w:t>
      </w:r>
    </w:p>
    <w:p>
      <w:r>
        <w:rPr>
          <w:b/>
        </w:rPr>
        <w:t xml:space="preserve">17. </w:t>
      </w:r>
      <w:r>
        <w:t>每个核心claim都有对应定义、算法机制、数据和实验四类证据。</w:t>
      </w:r>
    </w:p>
    <w:p>
      <w:r>
        <w:rPr>
          <w:b/>
        </w:rPr>
        <w:t xml:space="preserve">18. </w:t>
      </w:r>
      <w:r>
        <w:t>全文没有把Future Work包装成已完成贡献，也没有为了数学感加入未实现的装饰性公式。</w:t>
      </w:r>
    </w:p>
    <w:p>
      <w:r>
        <w:rPr>
          <w:rFonts w:ascii="Aptos" w:hAnsi="Aptos" w:eastAsia="宋体"/>
          <w:b w:val="0"/>
          <w:i w:val="0"/>
          <w:sz w:val="21"/>
        </w:rPr>
        <w:t>19. Reproducibility Gate：所有神经Prompt、模型快照或不可变checkpoint hash、推理参数、timeout/retry策略、符号reasoner与OWL/RDF库版本、canonicalization与module-extraction配置、数据manifest、代码commit和实验配置hash均完整披露或归档；每个正式结果必须可追溯到唯一Run Manifest。</w:t>
      </w:r>
    </w:p>
    <w:p>
      <w:r>
        <w:rPr>
          <w:rFonts w:ascii="Aptos" w:hAnsi="Aptos" w:eastAsia="宋体"/>
          <w:b w:val="0"/>
          <w:i w:val="0"/>
          <w:sz w:val="21"/>
        </w:rPr>
        <w:t>20. Experiment Immutability Gate：Test split冻结后不得继续基于测试错误调整Prompt、threshold、candidate policy或模块配置；若发生任何方法或配置变化，必须产生新的实验版本并重新运行完整测试，禁止仅针对失败案例局部重跑后更新主结果。</w:t>
      </w:r>
    </w:p>
    <w:p>
      <w:r>
        <w:rPr>
          <w:rFonts w:ascii="Aptos" w:hAnsi="Aptos" w:eastAsia="宋体"/>
          <w:b w:val="0"/>
          <w:i w:val="0"/>
          <w:sz w:val="21"/>
        </w:rPr>
        <w:t>21. Statistical Power Gate：在扩大数据和正式Test前以Strict Event Success为唯一主终点完成配对power analysis，冻结MDE、α、power目标、CI、source/chain聚类策略和multiple-comparison policy；低power子集不得承载强结论。</w:t>
      </w:r>
    </w:p>
    <w:p>
      <w:r>
        <w:rPr>
          <w:rFonts w:ascii="Aptos" w:hAnsi="Aptos" w:eastAsia="宋体"/>
          <w:b w:val="0"/>
          <w:i w:val="0"/>
          <w:sz w:val="21"/>
        </w:rPr>
        <w:t>22. Method-Selection Pre-registration：Symbolic Feedback、abstention阈值及其他可选模块的保留/删除规则必须在Dev阶段预注册；Test后不得按结果挑选最终架构。</w:t>
      </w:r>
    </w:p>
    <w:p>
      <w:r>
        <w:rPr>
          <w:rFonts w:ascii="Aptos" w:hAnsi="Aptos" w:eastAsia="宋体"/>
          <w:b w:val="0"/>
          <w:i w:val="0"/>
          <w:sz w:val="21"/>
        </w:rPr>
        <w:t>23. Theory-to-Mechanism Gate：Γ确定性与失败原子拒绝安全性具有明确形式定义、实现假设与证明；辅助Proposition、Lemma和Invariant按真实逻辑地位表述，不包装为无条件端到端语义正确性。</w:t>
      </w:r>
    </w:p>
    <w:p>
      <w:r>
        <w:rPr>
          <w:rFonts w:ascii="Aptos" w:hAnsi="Aptos" w:eastAsia="宋体"/>
          <w:b w:val="0"/>
          <w:i w:val="0"/>
          <w:sz w:val="21"/>
        </w:rPr>
        <w:t>24. Full-Ontology CQ Gate：论文主CQ恢复结果必须在完整本体上计算；locality module仅用于局部形式验证或E11探索性CQ agreement，不得默认替代全本体查询。</w:t>
      </w:r>
    </w:p>
    <w:p>
      <w:r>
        <w:rPr>
          <w:rFonts w:ascii="Aptos" w:hAnsi="Aptos" w:eastAsia="宋体"/>
          <w:b w:val="0"/>
          <w:i w:val="0"/>
          <w:sz w:val="21"/>
        </w:rPr>
        <w:t>25. External-Ontology Validity Gate：三个研究者构建任务本体必须公开规模/OWL profile/构建协议，并至少增加一个许可清晰的公开真实OWL本体external-validation子集；不得声称任务本体是生产级本体。</w:t>
      </w:r>
    </w:p>
    <w:p>
      <w:r>
        <w:rPr>
          <w:rFonts w:ascii="Aptos" w:hAnsi="Aptos" w:eastAsia="宋体"/>
          <w:b w:val="0"/>
          <w:i w:val="0"/>
          <w:sz w:val="21"/>
        </w:rPr>
        <w:t>26. Candidate-Blind Property Gate：Retriever与N_sem均不得接收候选条件化信息，并通过IR级候选置换、扩池、ID重命名与干扰项替换审计任务时非干扰性；若IR随C系统性变化，不得宣称Candidate-Blind Grounding成立。</w:t>
      </w:r>
    </w:p>
    <w:p>
      <w:r>
        <w:rPr>
          <w:rFonts w:ascii="Aptos" w:hAnsi="Aptos" w:eastAsia="宋体"/>
          <w:b w:val="0"/>
          <w:i w:val="0"/>
          <w:sz w:val="21"/>
        </w:rPr>
        <w:t>27. Observable-Drift Gate：SemanticValid/Normative Drift主张必须至少有一套预注册CQ提供可操作下游表征；同时明确CQ disagreement只是observable indicator，而非所有semantic drift的充分必要定义。</w:t>
      </w:r>
    </w:p>
    <w:p>
      <w:r>
        <w:rPr>
          <w:rFonts w:ascii="Aptos" w:hAnsi="Aptos" w:eastAsia="宋体"/>
          <w:b w:val="0"/>
          <w:i w:val="0"/>
          <w:sz w:val="21"/>
        </w:rPr>
        <w:t>28. Conservative-Locality Gate：locality module只能作为局部筛查与加速机制；主CQ和关键最终结论必须由full-ontology authoritative validation支撑，除非具体profile/query条件下另有严格证明。</w:t>
      </w:r>
    </w:p>
    <w:p>
      <w:pPr/>
      <w:r>
        <w:t>29. Decision-State Gate：输出空间必须区分REPAIR、NO_CHANGE和ABSTAIN；三类状态使用独立日志字段与评价规则。</w:t>
      </w:r>
    </w:p>
    <w:p>
      <w:pPr/>
      <w:r>
        <w:t>30. Operational/Gold Separation Gate：gold repair、gold ontology与gold CQ只能用于盲测评估，不得进入Retriever、候选生成、决策或在线Verifier。</w:t>
      </w:r>
    </w:p>
    <w:p>
      <w:pPr/>
      <w:r>
        <w:t>31. Normative-to-OWL Boundary Gate：时间、权威、管辖、例外与模态在规范语义元层解析；OWL仅接收已消解的单调公理并承担形式验证。</w:t>
      </w:r>
    </w:p>
    <w:p>
      <w:pPr/>
      <w:r>
        <w:t>32. Dataset-Lineage and Group-Split Gate：RFC以213-event naturalized冻结集为准，264→213逐事件可追溯；保险/医疗采用试点后功效驱动扩展；同源文档、同一version chain及派生变体不得跨split或重复计数。</w:t>
      </w:r>
    </w:p>
    <w:p>
      <w:pPr/>
      <w:r>
        <w:t>33. Γ Supported-Fragment Gate：支持构造必须由RFC 213 Gold分布审计后冻结；所有未支持事件进入Coverage分母并返回UNSUPPORTED。</w:t>
      </w:r>
    </w:p>
    <w:p>
      <w:pPr/>
      <w:r>
        <w:t>34. Γ Determinism Gate：Canonical IR与ontology hash相同，重复运行的status、A⁺、A⁻及Canonical OWL AST必须完全一致。</w:t>
      </w:r>
    </w:p>
    <w:p>
      <w:pPr/>
      <w:r>
        <w:t>35. Failure-Atomicity Gate：INVALID_IR、UNSUPPORTED与PRECONDITION_FAILED均不得产生部分补丁或改变本体。</w:t>
      </w:r>
    </w:p>
    <w:p>
      <w:pPr/>
      <w:r>
        <w:t>36. Gold-IR Compiler Gate：E0的AST、patch、reasoner与rejection四层测试通过后，才允许开展端到端SES实验。</w:t>
      </w:r>
    </w:p>
    <w:p>
      <w:pPr>
        <w:pStyle w:val="Heading1"/>
      </w:pPr>
      <w:r>
        <w:t>16. 冻结后的Claim边界</w:t>
      </w:r>
    </w:p>
    <w:tbl>
      <w:tblPr>
        <w:tblStyle w:val="TableGrid"/>
        <w:tblW w:type="auto" w:w="0"/>
        <w:jc w:val="center"/>
        <w:tblLook w:firstColumn="1" w:firstRow="1" w:lastColumn="0" w:lastRow="0" w:noHBand="0" w:noVBand="1" w:val="04A0"/>
      </w:tblPr>
      <w:tblGrid>
        <w:gridCol w:w="4759"/>
        <w:gridCol w:w="4759"/>
      </w:tblGrid>
      <w:tr>
        <w:tc>
          <w:tcPr>
            <w:tcW w:type="dxa" w:w="4535"/>
            <w:shd w:fill="D9EAF7"/>
            <w:vAlign w:val="center"/>
          </w:tcPr>
          <w:p>
            <w:pPr>
              <w:spacing w:after="0"/>
            </w:pPr>
            <w:r>
              <w:rPr>
                <w:rFonts w:ascii="Aptos" w:hAnsi="Aptos" w:eastAsia="宋体"/>
                <w:sz w:val="18"/>
              </w:rPr>
            </w:r>
            <w:r>
              <w:rPr>
                <w:rFonts w:ascii="Aptos" w:hAnsi="Aptos" w:eastAsia="宋体"/>
                <w:b/>
                <w:sz w:val="18"/>
              </w:rPr>
              <w:t>可以声称</w:t>
            </w:r>
          </w:p>
        </w:tc>
        <w:tc>
          <w:tcPr>
            <w:tcW w:type="dxa" w:w="4989"/>
            <w:shd w:fill="D9EAF7"/>
            <w:vAlign w:val="center"/>
          </w:tcPr>
          <w:p>
            <w:pPr>
              <w:spacing w:after="0"/>
            </w:pPr>
            <w:r>
              <w:rPr>
                <w:rFonts w:ascii="Aptos" w:hAnsi="Aptos" w:eastAsia="宋体"/>
                <w:sz w:val="18"/>
              </w:rPr>
            </w:r>
            <w:r>
              <w:rPr>
                <w:rFonts w:ascii="Aptos" w:hAnsi="Aptos" w:eastAsia="宋体"/>
                <w:b/>
                <w:sz w:val="18"/>
              </w:rPr>
              <w:t>不应声称</w:t>
            </w:r>
          </w:p>
        </w:tc>
      </w:tr>
      <w:tr>
        <w:tc>
          <w:tcPr>
            <w:tcW w:type="dxa" w:w="4535"/>
            <w:vAlign w:val="top"/>
          </w:tcPr>
          <w:p>
            <w:pPr>
              <w:spacing w:after="0"/>
            </w:pPr>
            <w:r>
              <w:rPr>
                <w:rFonts w:ascii="Aptos" w:hAnsi="Aptos" w:eastAsia="宋体"/>
                <w:sz w:val="18"/>
              </w:rPr>
            </w:r>
            <w:r>
              <w:rPr>
                <w:rFonts w:ascii="Aptos" w:hAnsi="Aptos" w:eastAsia="宋体"/>
                <w:b w:val="0"/>
                <w:sz w:val="18"/>
              </w:rPr>
              <w:t>处理动态版本知识演化下的证据约束语义修复</w:t>
            </w:r>
          </w:p>
        </w:tc>
        <w:tc>
          <w:tcPr>
            <w:tcW w:type="dxa" w:w="4989"/>
            <w:vAlign w:val="top"/>
          </w:tcPr>
          <w:p>
            <w:pPr>
              <w:spacing w:after="0"/>
            </w:pPr>
            <w:r>
              <w:rPr>
                <w:rFonts w:ascii="Aptos" w:hAnsi="Aptos" w:eastAsia="宋体"/>
                <w:sz w:val="18"/>
              </w:rPr>
            </w:r>
            <w:r>
              <w:rPr>
                <w:rFonts w:ascii="Aptos" w:hAnsi="Aptos" w:eastAsia="宋体"/>
                <w:b w:val="0"/>
                <w:sz w:val="18"/>
              </w:rPr>
              <w:t>解决所有ontology evolution问题</w:t>
            </w:r>
          </w:p>
        </w:tc>
      </w:tr>
      <w:tr>
        <w:tc>
          <w:tcPr>
            <w:tcW w:type="dxa" w:w="4535"/>
            <w:vAlign w:val="top"/>
          </w:tcPr>
          <w:p>
            <w:pPr>
              <w:spacing w:after="0"/>
            </w:pPr>
            <w:r>
              <w:rPr>
                <w:rFonts w:ascii="Aptos" w:hAnsi="Aptos" w:eastAsia="宋体"/>
                <w:sz w:val="18"/>
              </w:rPr>
            </w:r>
            <w:r>
              <w:rPr>
                <w:rFonts w:ascii="Aptos" w:hAnsi="Aptos" w:eastAsia="宋体"/>
                <w:b w:val="0"/>
                <w:sz w:val="18"/>
              </w:rPr>
              <w:t>支持有限候选空间内的最小约束修复</w:t>
            </w:r>
          </w:p>
        </w:tc>
        <w:tc>
          <w:tcPr>
            <w:tcW w:type="dxa" w:w="4989"/>
            <w:vAlign w:val="top"/>
          </w:tcPr>
          <w:p>
            <w:pPr>
              <w:spacing w:after="0"/>
            </w:pPr>
            <w:r>
              <w:rPr>
                <w:rFonts w:ascii="Aptos" w:hAnsi="Aptos" w:eastAsia="宋体"/>
                <w:sz w:val="18"/>
              </w:rPr>
            </w:r>
            <w:r>
              <w:rPr>
                <w:rFonts w:ascii="Aptos" w:hAnsi="Aptos" w:eastAsia="宋体"/>
                <w:b w:val="0"/>
                <w:sz w:val="18"/>
              </w:rPr>
              <w:t>在完整OWL空间保证全局最优</w:t>
            </w:r>
          </w:p>
        </w:tc>
      </w:tr>
      <w:tr>
        <w:tc>
          <w:tcPr>
            <w:tcW w:type="dxa" w:w="4535"/>
            <w:vAlign w:val="top"/>
          </w:tcPr>
          <w:p>
            <w:pPr>
              <w:spacing w:after="0"/>
            </w:pPr>
            <w:r>
              <w:rPr>
                <w:rFonts w:ascii="Aptos" w:hAnsi="Aptos" w:eastAsia="宋体"/>
                <w:sz w:val="18"/>
              </w:rPr>
            </w:r>
            <w:r>
              <w:rPr>
                <w:rFonts w:ascii="Aptos" w:hAnsi="Aptos" w:eastAsia="宋体"/>
                <w:b w:val="0"/>
                <w:sz w:val="18"/>
              </w:rPr>
              <w:t>支持代表性的T-Box复杂公理修复</w:t>
            </w:r>
          </w:p>
        </w:tc>
        <w:tc>
          <w:tcPr>
            <w:tcW w:type="dxa" w:w="4989"/>
            <w:vAlign w:val="top"/>
          </w:tcPr>
          <w:p>
            <w:pPr>
              <w:spacing w:after="0"/>
            </w:pPr>
            <w:r>
              <w:rPr>
                <w:rFonts w:ascii="Aptos" w:hAnsi="Aptos" w:eastAsia="宋体"/>
                <w:sz w:val="18"/>
              </w:rPr>
            </w:r>
            <w:r>
              <w:rPr>
                <w:rFonts w:ascii="Aptos" w:hAnsi="Aptos" w:eastAsia="宋体"/>
                <w:b w:val="0"/>
                <w:sz w:val="18"/>
              </w:rPr>
              <w:t>支持任意OWL DL变化</w:t>
            </w:r>
          </w:p>
        </w:tc>
      </w:tr>
      <w:tr>
        <w:tc>
          <w:tcPr>
            <w:tcW w:type="dxa" w:w="4535"/>
            <w:vAlign w:val="top"/>
          </w:tcPr>
          <w:p>
            <w:pPr>
              <w:spacing w:after="0"/>
            </w:pPr>
            <w:r>
              <w:rPr>
                <w:rFonts w:ascii="Aptos" w:hAnsi="Aptos" w:eastAsia="宋体"/>
                <w:sz w:val="18"/>
              </w:rPr>
            </w:r>
            <w:r>
              <w:rPr>
                <w:rFonts w:ascii="Aptos" w:hAnsi="Aptos" w:eastAsia="宋体"/>
                <w:b w:val="0"/>
                <w:sz w:val="18"/>
              </w:rPr>
              <w:t>通过真实连续版本链验证dynamic能力</w:t>
            </w:r>
          </w:p>
        </w:tc>
        <w:tc>
          <w:tcPr>
            <w:tcW w:type="dxa" w:w="4989"/>
            <w:vAlign w:val="top"/>
          </w:tcPr>
          <w:p>
            <w:pPr>
              <w:spacing w:after="0"/>
            </w:pPr>
            <w:r>
              <w:rPr>
                <w:rFonts w:ascii="Aptos" w:hAnsi="Aptos" w:eastAsia="宋体"/>
                <w:sz w:val="18"/>
              </w:rPr>
            </w:r>
            <w:r>
              <w:rPr>
                <w:rFonts w:ascii="Aptos" w:hAnsi="Aptos" w:eastAsia="宋体"/>
                <w:b w:val="0"/>
                <w:sz w:val="18"/>
              </w:rPr>
              <w:t>具备无限长期自治演化能力</w:t>
            </w:r>
          </w:p>
        </w:tc>
      </w:tr>
      <w:tr>
        <w:tc>
          <w:tcPr>
            <w:tcW w:type="dxa" w:w="4535"/>
            <w:vAlign w:val="top"/>
          </w:tcPr>
          <w:p>
            <w:r>
              <w:rPr>
                <w:rFonts w:ascii="Aptos" w:hAnsi="Aptos" w:eastAsia="宋体"/>
                <w:sz w:val="18"/>
              </w:rPr>
              <w:t>具备条件式symbolic-guided revision（若实验有效）</w:t>
            </w:r>
          </w:p>
        </w:tc>
        <w:tc>
          <w:tcPr>
            <w:tcW w:type="dxa" w:w="4989"/>
            <w:vAlign w:val="top"/>
          </w:tcPr>
          <w:p>
            <w:r>
              <w:rPr>
                <w:rFonts w:ascii="Aptos" w:hAnsi="Aptos" w:eastAsia="宋体"/>
                <w:sz w:val="18"/>
              </w:rPr>
              <w:t>不声称具备完全自主自反思Agent；若收益不足则在线反馈从最终方法移除</w:t>
            </w:r>
          </w:p>
        </w:tc>
      </w:tr>
      <w:tr>
        <w:tc>
          <w:tcPr>
            <w:tcW w:type="dxa" w:w="4535"/>
            <w:vAlign w:val="top"/>
          </w:tcPr>
          <w:p>
            <w:r>
              <w:rPr>
                <w:rFonts w:ascii="Aptos" w:hAnsi="Aptos" w:eastAsia="宋体"/>
                <w:sz w:val="18"/>
              </w:rPr>
              <w:t>具有基于syntactic locality的局部增量验证机制</w:t>
            </w:r>
          </w:p>
        </w:tc>
        <w:tc>
          <w:tcPr>
            <w:tcW w:type="dxa" w:w="4989"/>
            <w:vAlign w:val="top"/>
          </w:tcPr>
          <w:p>
            <w:r>
              <w:rPr>
                <w:rFonts w:ascii="Aptos" w:hAnsi="Aptos" w:eastAsia="宋体"/>
                <w:sz w:val="18"/>
              </w:rPr>
              <w:t>不声称改变最坏情况复杂度；仅报告局部模块的实际加速与全量结果一致性</w:t>
            </w:r>
          </w:p>
        </w:tc>
      </w:tr>
      <w:tr>
        <w:tc>
          <w:tcPr>
            <w:tcW w:type="dxa" w:w="4535"/>
            <w:vAlign w:val="top"/>
          </w:tcPr>
          <w:p>
            <w:pPr>
              <w:spacing w:after="0"/>
            </w:pPr>
            <w:r>
              <w:rPr>
                <w:rFonts w:ascii="Aptos" w:hAnsi="Aptos" w:eastAsia="宋体"/>
                <w:sz w:val="18"/>
              </w:rPr>
            </w:r>
            <w:r>
              <w:rPr>
                <w:rFonts w:ascii="Aptos" w:hAnsi="Aptos" w:eastAsia="宋体"/>
                <w:b w:val="0"/>
                <w:sz w:val="18"/>
              </w:rPr>
              <w:t>在可观察novelty条件下安全降级</w:t>
            </w:r>
          </w:p>
        </w:tc>
        <w:tc>
          <w:tcPr>
            <w:tcW w:type="dxa" w:w="4989"/>
            <w:vAlign w:val="top"/>
          </w:tcPr>
          <w:p>
            <w:pPr>
              <w:spacing w:after="0"/>
            </w:pPr>
            <w:r>
              <w:rPr>
                <w:rFonts w:ascii="Aptos" w:hAnsi="Aptos" w:eastAsia="宋体"/>
                <w:sz w:val="18"/>
              </w:rPr>
            </w:r>
            <w:r>
              <w:rPr>
                <w:rFonts w:ascii="Aptos" w:hAnsi="Aptos" w:eastAsia="宋体"/>
                <w:b w:val="0"/>
                <w:sz w:val="18"/>
              </w:rPr>
              <w:t>能够知道LLM训练时是否见过所有新概念</w:t>
            </w:r>
          </w:p>
        </w:tc>
      </w:tr>
      <w:tr>
        <w:tc>
          <w:tcPr>
            <w:tcW w:type="dxa" w:w="4535"/>
            <w:vAlign w:val="top"/>
          </w:tcPr>
          <w:p>
            <w:pPr>
              <w:spacing w:after="0"/>
            </w:pPr>
            <w:r>
              <w:rPr>
                <w:rFonts w:ascii="Aptos" w:hAnsi="Aptos" w:eastAsia="宋体"/>
                <w:sz w:val="18"/>
              </w:rPr>
            </w:r>
            <w:r>
              <w:rPr>
                <w:rFonts w:ascii="Aptos" w:hAnsi="Aptos" w:eastAsia="宋体"/>
                <w:b w:val="0"/>
                <w:sz w:val="18"/>
              </w:rPr>
              <w:t>面向高风险场景提供专家辅助补丁</w:t>
            </w:r>
          </w:p>
        </w:tc>
        <w:tc>
          <w:tcPr>
            <w:tcW w:type="dxa" w:w="4989"/>
            <w:vAlign w:val="top"/>
          </w:tcPr>
          <w:p>
            <w:pPr>
              <w:spacing w:after="0"/>
            </w:pPr>
            <w:r>
              <w:rPr>
                <w:rFonts w:ascii="Aptos" w:hAnsi="Aptos" w:eastAsia="宋体"/>
                <w:sz w:val="18"/>
              </w:rPr>
            </w:r>
            <w:r>
              <w:rPr>
                <w:rFonts w:ascii="Aptos" w:hAnsi="Aptos" w:eastAsia="宋体"/>
                <w:b w:val="0"/>
                <w:sz w:val="18"/>
              </w:rPr>
              <w:t>可无人监管自动更新生产规范</w:t>
            </w:r>
          </w:p>
        </w:tc>
      </w:tr>
      <w:tr>
        <w:tc>
          <w:tcPr>
            <w:tcW w:type="dxa" w:w="4759"/>
          </w:tcPr>
          <w:p>
            <w:r>
              <w:rPr>
                <w:rFonts w:ascii="Aptos" w:hAnsi="Aptos" w:eastAsia="宋体"/>
                <w:sz w:val="18"/>
              </w:rPr>
              <w:t>纵向评估区分真实历史起点与系统滚动轨迹，并严格隔离未来证据</w:t>
            </w:r>
          </w:p>
        </w:tc>
        <w:tc>
          <w:tcPr>
            <w:tcW w:type="dxa" w:w="4759"/>
          </w:tcPr>
          <w:p>
            <w:r>
              <w:rPr>
                <w:rFonts w:ascii="Aptos" w:hAnsi="Aptos" w:eastAsia="宋体"/>
                <w:sz w:val="18"/>
              </w:rPr>
              <w:t>系统能够预知未来规范变化或所有中间状态均为历史真实状态</w:t>
            </w:r>
          </w:p>
        </w:tc>
      </w:tr>
      <w:tr>
        <w:tc>
          <w:tcPr>
            <w:tcW w:type="dxa" w:w="4759"/>
          </w:tcPr>
          <w:p>
            <w:r>
              <w:rPr>
                <w:rFonts w:ascii="Aptos" w:hAnsi="Aptos" w:eastAsia="宋体"/>
                <w:sz w:val="18"/>
              </w:rPr>
              <w:t>Semantic-Aware Axiom Diff在受限局部模块内提供保守等价判断</w:t>
            </w:r>
          </w:p>
        </w:tc>
        <w:tc>
          <w:tcPr>
            <w:tcW w:type="dxa" w:w="4759"/>
          </w:tcPr>
          <w:p>
            <w:r>
              <w:rPr>
                <w:rFonts w:ascii="Aptos" w:hAnsi="Aptos" w:eastAsia="宋体"/>
                <w:sz w:val="18"/>
              </w:rPr>
              <w:t>对任意OWL公理提供无界、完备且零成本的全局语义等价判定</w:t>
            </w:r>
          </w:p>
        </w:tc>
      </w:tr>
      <w:tr>
        <w:tc>
          <w:tcPr>
            <w:tcW w:type="dxa" w:w="4759"/>
            <w:vAlign w:val="center"/>
          </w:tcPr>
          <w:p>
            <w:r>
              <w:t>Candidate-Blind Non-Interference阻断task-time候选信息流，并通过干预式扰动审计</w:t>
            </w:r>
          </w:p>
        </w:tc>
        <w:tc>
          <w:tcPr>
            <w:tcW w:type="dxa" w:w="4759"/>
            <w:vAlign w:val="center"/>
          </w:tcPr>
          <w:p>
            <w:r>
              <w:t>消除LLM预训练记忆，或以有限扰动证明对所有候选集合绝对独立</w:t>
            </w:r>
          </w:p>
        </w:tc>
      </w:tr>
      <w:tr>
        <w:tc>
          <w:tcPr>
            <w:tcW w:type="dxa" w:w="4759"/>
          </w:tcPr>
          <w:p>
            <w:r>
              <w:t>Semantic-Aware Axiom Diff在受控profile/资源预算下提供保守判断</w:t>
            </w:r>
          </w:p>
        </w:tc>
        <w:tc>
          <w:tcPr>
            <w:tcW w:type="dxa" w:w="4759"/>
          </w:tcPr>
          <w:p>
            <w:r>
              <w:t>对OWL 2 DL任意公理提供完备且廉价的全局等价判定</w:t>
            </w:r>
          </w:p>
        </w:tc>
      </w:tr>
      <w:tr>
        <w:tc>
          <w:tcPr>
            <w:tcW w:type="dxa" w:w="4759"/>
          </w:tcPr>
          <w:p>
            <w:r>
              <w:t>任务本体用于可控规范驱动benchmark，并有公开真实OWL本体外部验证</w:t>
            </w:r>
          </w:p>
        </w:tc>
        <w:tc>
          <w:tcPr>
            <w:tcW w:type="dxa" w:w="4759"/>
          </w:tcPr>
          <w:p>
            <w:r>
              <w:t>任务本体等价于真实生产级大规模ontology</w:t>
            </w:r>
          </w:p>
        </w:tc>
      </w:tr>
      <w:tr>
        <w:tc>
          <w:tcPr>
            <w:tcW w:type="dxa" w:w="4759"/>
          </w:tcPr>
          <w:p>
            <w:r>
              <w:t>Locality module用于局部形式验证，主CQ在完整本体上验证</w:t>
            </w:r>
          </w:p>
        </w:tc>
        <w:tc>
          <w:tcPr>
            <w:tcW w:type="dxa" w:w="4759"/>
          </w:tcPr>
          <w:p>
            <w:r>
              <w:t>局部模块天然保持任意CQ答案</w:t>
            </w:r>
          </w:p>
        </w:tc>
      </w:tr>
      <w:tr>
        <w:tc>
          <w:tcPr>
            <w:tcW w:type="dxa" w:w="4759"/>
            <w:vAlign w:val="center"/>
            <w:tcMar>
              <w:top w:w="80" w:type="dxa"/>
              <w:left w:w="80" w:type="dxa"/>
              <w:bottom w:w="80" w:type="dxa"/>
              <w:right w:w="80" w:type="dxa"/>
            </w:tcMar>
          </w:tcPr>
          <w:p>
            <w:r>
              <w:t>系统明确区分NO_CHANGE与ABSTAIN</w:t>
            </w:r>
          </w:p>
        </w:tc>
        <w:tc>
          <w:tcPr>
            <w:tcW w:type="dxa" w:w="4759"/>
            <w:vAlign w:val="center"/>
            <w:tcMar>
              <w:top w:w="80" w:type="dxa"/>
              <w:left w:w="80" w:type="dxa"/>
              <w:bottom w:w="80" w:type="dxa"/>
              <w:right w:w="80" w:type="dxa"/>
            </w:tcMar>
          </w:tcPr>
          <w:p>
            <w:r>
              <w:t>把弃权当作正确无漂移判断，或用全部弃权获得零WRR</w:t>
            </w:r>
          </w:p>
        </w:tc>
      </w:tr>
      <w:tr>
        <w:tc>
          <w:tcPr>
            <w:tcW w:type="dxa" w:w="4759"/>
            <w:vAlign w:val="center"/>
            <w:tcMar>
              <w:top w:w="80" w:type="dxa"/>
              <w:left w:w="80" w:type="dxa"/>
              <w:bottom w:w="80" w:type="dxa"/>
              <w:right w:w="80" w:type="dxa"/>
            </w:tcMar>
          </w:tcPr>
          <w:p>
            <w:r>
              <w:t>在线修复只使用操作性可得约束，gold仅用于盲测</w:t>
            </w:r>
          </w:p>
        </w:tc>
        <w:tc>
          <w:tcPr>
            <w:tcW w:type="dxa" w:w="4759"/>
            <w:vAlign w:val="center"/>
            <w:tcMar>
              <w:top w:w="80" w:type="dxa"/>
              <w:left w:w="80" w:type="dxa"/>
              <w:bottom w:w="80" w:type="dxa"/>
              <w:right w:w="80" w:type="dxa"/>
            </w:tcMar>
          </w:tcPr>
          <w:p>
            <w:r>
              <w:t>算法在部署时可访问gold ontology或gold CQ答案</w:t>
            </w:r>
          </w:p>
        </w:tc>
      </w:tr>
      <w:tr>
        <w:tc>
          <w:tcPr>
            <w:tcW w:type="dxa" w:w="4759"/>
            <w:vAlign w:val="center"/>
            <w:tcMar>
              <w:top w:w="80" w:type="dxa"/>
              <w:left w:w="80" w:type="dxa"/>
              <w:bottom w:w="80" w:type="dxa"/>
              <w:right w:w="80" w:type="dxa"/>
            </w:tcMar>
          </w:tcPr>
          <w:p>
            <w:r>
              <w:t>规范语义元层解析例外、模态、时效与权威后再编译为OWL</w:t>
            </w:r>
          </w:p>
        </w:tc>
        <w:tc>
          <w:tcPr>
            <w:tcW w:type="dxa" w:w="4759"/>
            <w:vAlign w:val="center"/>
            <w:tcMar>
              <w:top w:w="80" w:type="dxa"/>
              <w:left w:w="80" w:type="dxa"/>
              <w:bottom w:w="80" w:type="dxa"/>
              <w:right w:w="80" w:type="dxa"/>
            </w:tcMar>
          </w:tcPr>
          <w:p>
            <w:r>
              <w:t>OWL开放世界与单调语义天然表达全部缺省、优先级和时序规则</w:t>
            </w:r>
          </w:p>
        </w:tc>
      </w:tr>
      <w:tr>
        <w:tc>
          <w:tcPr>
            <w:tcW w:type="dxa" w:w="4759"/>
            <w:vAlign w:val="center"/>
            <w:tcMar>
              <w:top w:w="80" w:type="dxa"/>
              <w:left w:w="80" w:type="dxa"/>
              <w:bottom w:w="80" w:type="dxa"/>
              <w:right w:w="80" w:type="dxa"/>
            </w:tcMar>
          </w:tcPr>
          <w:p>
            <w:r>
              <w:t>Γ在冻结支持片段上是确定性的，并对拒绝失败保持原子安全</w:t>
            </w:r>
          </w:p>
        </w:tc>
        <w:tc>
          <w:tcPr>
            <w:tcW w:type="dxa" w:w="4759"/>
            <w:vAlign w:val="center"/>
            <w:tcMar>
              <w:top w:w="80" w:type="dxa"/>
              <w:left w:w="80" w:type="dxa"/>
              <w:bottom w:w="80" w:type="dxa"/>
              <w:right w:w="80" w:type="dxa"/>
            </w:tcMar>
          </w:tcPr>
          <w:p>
            <w:r>
              <w:t>Γ能够无条件理解任意自然语言规范或完整表达所有规范语义</w:t>
            </w:r>
          </w:p>
        </w:tc>
      </w:tr>
      <w:tr>
        <w:tc>
          <w:tcPr>
            <w:tcW w:type="dxa" w:w="4759"/>
            <w:vAlign w:val="center"/>
            <w:tcMar>
              <w:top w:w="80" w:type="dxa"/>
              <w:left w:w="80" w:type="dxa"/>
              <w:bottom w:w="80" w:type="dxa"/>
              <w:right w:w="80" w:type="dxa"/>
            </w:tcMar>
          </w:tcPr>
          <w:p>
            <w:r>
              <w:t>Gold IR→OWL实验验证编译器实现符合冻结规则</w:t>
            </w:r>
          </w:p>
        </w:tc>
        <w:tc>
          <w:tcPr>
            <w:tcW w:type="dxa" w:w="4759"/>
            <w:vAlign w:val="center"/>
            <w:tcMar>
              <w:top w:w="80" w:type="dxa"/>
              <w:left w:w="80" w:type="dxa"/>
              <w:bottom w:w="80" w:type="dxa"/>
              <w:right w:w="80" w:type="dxa"/>
            </w:tcMar>
          </w:tcPr>
          <w:p>
            <w:r>
              <w:t>Gold IR测试能够证明上游规范解析永远正确</w:t>
            </w:r>
          </w:p>
        </w:tc>
      </w:tr>
      <w:tr>
        <w:tc>
          <w:tcPr>
            <w:tcW w:type="dxa" w:w="4759"/>
            <w:vAlign w:val="center"/>
            <w:tcMar>
              <w:top w:w="80" w:type="dxa"/>
              <w:left w:w="80" w:type="dxa"/>
              <w:bottom w:w="80" w:type="dxa"/>
              <w:right w:w="80" w:type="dxa"/>
            </w:tcMar>
          </w:tcPr>
          <w:p>
            <w:r>
              <w:t>RFC 213是确认性核心，外部领域按功效驱动扩展</w:t>
            </w:r>
          </w:p>
        </w:tc>
        <w:tc>
          <w:tcPr>
            <w:tcW w:type="dxa" w:w="4759"/>
            <w:vAlign w:val="center"/>
            <w:tcMar>
              <w:top w:w="80" w:type="dxa"/>
              <w:left w:w="80" w:type="dxa"/>
              <w:bottom w:w="80" w:type="dxa"/>
              <w:right w:w="80" w:type="dxa"/>
            </w:tcMar>
          </w:tcPr>
          <w:p>
            <w:r>
              <w:t>必须达到三领域639才有价值，或小试点即可支持同等强度泛化结论</w:t>
            </w:r>
          </w:p>
        </w:tc>
      </w:tr>
    </w:tbl>
    <w:p/>
    <w:p>
      <w:pPr>
        <w:pStyle w:val="Heading1"/>
      </w:pPr>
      <w:r>
        <w:t>17. 最终冻结版一句话定义</w:t>
      </w:r>
    </w:p>
    <w:p>
      <w:pPr>
        <w:jc w:val="both"/>
      </w:pPr>
      <w:r>
        <w:rPr>
          <w:rFonts w:ascii="Aptos" w:hAnsi="Aptos" w:eastAsia="黑体"/>
          <w:b/>
          <w:sz w:val="22"/>
        </w:rPr>
        <w:t>ECR-Repair以RFC 213为确认性核心，先将经过验证的有限Repair IR通过最小确定性编译器Γ转换为OWL Axiom-level Patch，并以Gold IR测试和形式证明建立确定性、前置条件安全与失败原子性；候选无关检索、Candidate-Blind语义理解、NO_CHANGE/ABSTAIN、SES、完整本体CQ与纵向实验围绕Γ形成端到端证据链。保险和医疗先试点、再按功效扩展；264→213数据谱系、gold隔离和高风险专家审批构成可信边界。</w:t>
      </w:r>
    </w:p>
    <w:p/>
    <w:p>
      <w:pPr>
        <w:pStyle w:val="SmallNote"/>
      </w:pPr>
      <w:r>
        <w:rPr>
          <w:rFonts w:ascii="Aptos" w:hAnsi="Aptos" w:eastAsia="宋体"/>
          <w:i/>
          <w:sz w:val="18"/>
        </w:rPr>
        <w:t>本文件为V1.7研究路线冻结基准。执行优先级被冻结为：264→213谱系与Gold构造审计 → 最小Γ实现 → Γ核心证明与E0验证 → RFC 213端到端实验 → T-Box增强 → 外部领域试点与功效驱动扩展。任何支持构造、IR Schema、编译规则或前置条件变化都必须递增版本并重跑完整E0。</w:t>
      </w:r>
    </w:p>
    <w:p>
      <w:pPr>
        <w:pStyle w:val="Heading1"/>
      </w:pPr>
      <w:r>
        <w:rPr>
          <w:rFonts w:ascii="Aptos" w:hAnsi="Aptos" w:eastAsia="黑体"/>
          <w:b/>
        </w:rPr>
        <w:t>18. V1.7 编译器优先路线的最终决策</w:t>
      </w:r>
    </w:p>
    <w:tbl>
      <w:tblPr>
        <w:tblStyle w:val="TableGrid"/>
        <w:tblW w:type="auto" w:w="0"/>
        <w:tblLook w:firstColumn="1" w:firstRow="1" w:lastColumn="0" w:lastRow="0" w:noHBand="0" w:noVBand="1" w:val="04A0"/>
      </w:tblPr>
      <w:tblGrid>
        <w:gridCol w:w="3173"/>
        <w:gridCol w:w="3173"/>
        <w:gridCol w:w="3173"/>
      </w:tblGrid>
      <w:tr>
        <w:tc>
          <w:tcPr>
            <w:tcW w:type="dxa" w:w="3173"/>
          </w:tcPr>
          <w:p>
            <w:r>
              <w:rPr>
                <w:rFonts w:ascii="Aptos" w:hAnsi="Aptos" w:eastAsia="宋体"/>
                <w:b w:val="0"/>
                <w:sz w:val="18"/>
              </w:rPr>
              <w:t>风险</w:t>
            </w:r>
          </w:p>
        </w:tc>
        <w:tc>
          <w:tcPr>
            <w:tcW w:type="dxa" w:w="3173"/>
            <w:vAlign w:val="center"/>
          </w:tcPr>
          <w:p>
            <w:r>
              <w:t>V1.7冻结决策</w:t>
            </w:r>
          </w:p>
        </w:tc>
        <w:tc>
          <w:tcPr>
            <w:tcW w:type="dxa" w:w="3173"/>
          </w:tcPr>
          <w:p>
            <w:r>
              <w:rPr>
                <w:rFonts w:ascii="Aptos" w:hAnsi="Aptos" w:eastAsia="宋体"/>
                <w:b w:val="0"/>
                <w:sz w:val="18"/>
              </w:rPr>
              <w:t>执行优先级</w:t>
            </w:r>
          </w:p>
        </w:tc>
      </w:tr>
      <w:tr>
        <w:tc>
          <w:tcPr>
            <w:tcW w:type="dxa" w:w="3173"/>
          </w:tcPr>
          <w:p>
            <w:r>
              <w:t>R1 数据许可</w:t>
            </w:r>
          </w:p>
        </w:tc>
        <w:tc>
          <w:tcPr>
            <w:tcW w:type="dxa" w:w="3173"/>
          </w:tcPr>
          <w:p>
            <w:r>
              <w:t>医疗/保险不依赖受限完整本体；真实公开版本化规范 + 研究者构建任务本体。受限资源必须先做license audit。</w:t>
            </w:r>
          </w:p>
        </w:tc>
        <w:tc>
          <w:tcPr>
            <w:tcW w:type="dxa" w:w="3173"/>
          </w:tcPr>
          <w:p>
            <w:r>
              <w:t>P0，造数据前完成</w:t>
            </w:r>
          </w:p>
        </w:tc>
      </w:tr>
      <w:tr>
        <w:tc>
          <w:tcPr>
            <w:tcW w:type="dxa" w:w="3173"/>
          </w:tcPr>
          <w:p>
            <w:r>
              <w:t>R2 T-Box机制断层</w:t>
            </w:r>
          </w:p>
        </w:tc>
        <w:tc>
          <w:tcPr>
            <w:tcW w:type="dxa" w:w="3173"/>
          </w:tcPr>
          <w:p>
            <w:r>
              <w:t>正式补丁改为Axiom-level (A⁺,A⁻)；Axiom-based Diff为主，Triple Diff仅作serialization检查。</w:t>
            </w:r>
          </w:p>
        </w:tc>
        <w:tc>
          <w:tcPr>
            <w:tcW w:type="dxa" w:w="3173"/>
          </w:tcPr>
          <w:p>
            <w:r>
              <w:t>P0，改代码前完成</w:t>
            </w:r>
          </w:p>
        </w:tc>
      </w:tr>
      <w:tr>
        <w:tc>
          <w:tcPr>
            <w:tcW w:type="dxa" w:w="3173"/>
          </w:tcPr>
          <w:p>
            <w:r>
              <w:t>R3 Symbolic Feedback</w:t>
            </w:r>
          </w:p>
        </w:tc>
        <w:tc>
          <w:tcPr>
            <w:tcW w:type="dxa" w:w="3173"/>
          </w:tcPr>
          <w:p>
            <w:r>
              <w:t>从核心主干降级为条件安全分支；仅可恢复错误触发一次定向重提取；实验无收益则删除在线机制。</w:t>
            </w:r>
          </w:p>
        </w:tc>
        <w:tc>
          <w:tcPr>
            <w:tcW w:type="dxa" w:w="3173"/>
          </w:tcPr>
          <w:p>
            <w:r>
              <w:t>P1，实验决策</w:t>
            </w:r>
          </w:p>
        </w:tc>
      </w:tr>
      <w:tr>
        <w:tc>
          <w:tcPr>
            <w:tcW w:type="dxa" w:w="3173"/>
          </w:tcPr>
          <w:p>
            <w:r>
              <w:t>R4 Longitudinal统计不足</w:t>
            </w:r>
          </w:p>
        </w:tc>
        <w:tc>
          <w:tcPr>
            <w:tcW w:type="dxa" w:w="3173"/>
          </w:tcPr>
          <w:p>
            <w:r>
              <w:t>目标30–50真实链、≥100 transitions；transition-level与chain-level双层统计。小样本时必须降claim。</w:t>
            </w:r>
          </w:p>
        </w:tc>
        <w:tc>
          <w:tcPr>
            <w:tcW w:type="dxa" w:w="3173"/>
          </w:tcPr>
          <w:p>
            <w:r>
              <w:t>P0，数据设计前完成</w:t>
            </w:r>
          </w:p>
        </w:tc>
      </w:tr>
      <w:tr>
        <w:tc>
          <w:tcPr>
            <w:tcW w:type="dxa" w:w="3173"/>
          </w:tcPr>
          <w:p>
            <w:r>
              <w:t>R5 Incremental算法缺失</w:t>
            </w:r>
          </w:p>
        </w:tc>
        <w:tc>
          <w:tcPr>
            <w:tcW w:type="dxa" w:w="3173"/>
          </w:tcPr>
          <w:p>
            <w:r>
              <w:t>采用syntactic locality module extraction；报告local/full agreement、speedup、module size，不夸大最坏情况复杂度。</w:t>
            </w:r>
          </w:p>
        </w:tc>
        <w:tc>
          <w:tcPr>
            <w:tcW w:type="dxa" w:w="3173"/>
          </w:tcPr>
          <w:p>
            <w:r>
              <w:t>P1，系统增强</w:t>
            </w:r>
          </w:p>
        </w:tc>
      </w:tr>
      <w:tr>
        <w:tc>
          <w:tcPr>
            <w:tcW w:type="dxa" w:w="3173"/>
          </w:tcPr>
          <w:p>
            <w:r>
              <w:t>R6 Compute公平性</w:t>
            </w:r>
          </w:p>
        </w:tc>
        <w:tc>
          <w:tcPr>
            <w:tcW w:type="dxa" w:w="3173"/>
          </w:tcPr>
          <w:p>
            <w:r>
              <w:t>公平匹配调用/Token/成本；主结果联合Accuracy、WRR、Risk、Coverage、FRR、Relative Error Reduction。</w:t>
            </w:r>
          </w:p>
        </w:tc>
        <w:tc>
          <w:tcPr>
            <w:tcW w:type="dxa" w:w="3173"/>
          </w:tcPr>
          <w:p>
            <w:r>
              <w:t>P0，实验协议前冻结</w:t>
            </w:r>
          </w:p>
        </w:tc>
      </w:tr>
      <w:tr>
        <w:tc>
          <w:tcPr>
            <w:tcW w:type="dxa" w:w="3173"/>
          </w:tcPr>
          <w:p>
            <w:r>
              <w:t>R7 Semantic-Aware Diff循环依赖</w:t>
            </w:r>
          </w:p>
        </w:tc>
        <w:tc>
          <w:tcPr>
            <w:tcW w:type="dxa" w:w="3173"/>
          </w:tcPr>
          <w:p>
            <w:r>
              <w:t>先形成Candidate Axiom Diff与Σ_cand，再抽取syntactic locality module；局部等价检查受B_eq资源预算约束，输出EQUIVALENT/DIFFERENT/UNRESOLVED；UNRESOLVED触发人工复核。</w:t>
            </w:r>
          </w:p>
        </w:tc>
        <w:tc>
          <w:tcPr>
            <w:tcW w:type="dxa" w:w="3173"/>
          </w:tcPr>
          <w:p>
            <w:r>
              <w:t>P0，T-Box实现前冻结</w:t>
            </w:r>
          </w:p>
        </w:tc>
      </w:tr>
      <w:tr>
        <w:tc>
          <w:tcPr>
            <w:tcW w:type="dxa" w:w="3173"/>
          </w:tcPr>
          <w:p>
            <w:r>
              <w:t>R8 Longitudinal状态来源混淆</w:t>
            </w:r>
          </w:p>
        </w:tc>
        <w:tc>
          <w:tcPr>
            <w:tcW w:type="dxa" w:w="3173"/>
          </w:tcPr>
          <w:p>
            <w:r>
              <w:t>纵向实验拆分Source-Original与Repaired-Trajectory两套协议；状态标记HISTORICALLY_ATTESTED或REPAIRED_TRAJECTORY；分别报告VTA_source、VTA_rollout与Propagation Gap。</w:t>
            </w:r>
          </w:p>
        </w:tc>
        <w:tc>
          <w:tcPr>
            <w:tcW w:type="dxa" w:w="3173"/>
          </w:tcPr>
          <w:p>
            <w:r>
              <w:t>P0，动态数据标注前冻结</w:t>
            </w:r>
          </w:p>
        </w:tc>
      </w:tr>
      <w:tr>
        <w:tc>
          <w:tcPr>
            <w:tcW w:type="dxa" w:w="3173"/>
          </w:tcPr>
          <w:p>
            <w:r>
              <w:t>R9 Reproducibility缺口</w:t>
            </w:r>
          </w:p>
        </w:tc>
        <w:tc>
          <w:tcPr>
            <w:tcW w:type="dxa" w:w="3173"/>
          </w:tcPr>
          <w:p>
            <w:r>
              <w:t>完整披露Prompt、模型快照/hash、推理参数、API策略、reasoner/OWL库、normalization/module配置；每个正式结果绑定唯一不可变Run Manifest。</w:t>
            </w:r>
          </w:p>
        </w:tc>
        <w:tc>
          <w:tcPr>
            <w:tcW w:type="dxa" w:w="3173"/>
          </w:tcPr>
          <w:p>
            <w:r>
              <w:t>P0，正式实验前完成</w:t>
            </w:r>
          </w:p>
        </w:tc>
      </w:tr>
      <w:tr>
        <w:tc>
          <w:tcPr>
            <w:tcW w:type="dxa" w:w="3173"/>
          </w:tcPr>
          <w:p>
            <w:r>
              <w:t>R10 Test后调参污染</w:t>
            </w:r>
          </w:p>
        </w:tc>
        <w:tc>
          <w:tcPr>
            <w:tcW w:type="dxa" w:w="3173"/>
          </w:tcPr>
          <w:p>
            <w:r>
              <w:t>Train/Dev完成调参与配置选择后冻结Test；任何Test后方法/Prompt/threshold/candidate policy变化均递增实验版本并重跑完整测试。</w:t>
            </w:r>
          </w:p>
        </w:tc>
        <w:tc>
          <w:tcPr>
            <w:tcW w:type="dxa" w:w="3173"/>
          </w:tcPr>
          <w:p>
            <w:r>
              <w:t>P0，实验治理硬门槛</w:t>
            </w:r>
          </w:p>
        </w:tc>
      </w:tr>
      <w:tr>
        <w:tc>
          <w:tcPr>
            <w:tcW w:type="dxa" w:w="3173"/>
          </w:tcPr>
          <w:p>
            <w:r>
              <w:t>R11 统计功效不足</w:t>
            </w:r>
          </w:p>
        </w:tc>
        <w:tc>
          <w:tcPr>
            <w:tcW w:type="dxa" w:w="3173"/>
            <w:vAlign w:val="center"/>
          </w:tcPr>
          <w:p>
            <w:r>
              <w:t>RFC 213承担确认性检验；保险/医疗先各60–100试点，再按discordant-pair与聚类功效扩展；639不再是P0硬门槛。</w:t>
            </w:r>
          </w:p>
        </w:tc>
        <w:tc>
          <w:tcPr>
            <w:tcW w:type="dxa" w:w="3173"/>
          </w:tcPr>
          <w:p>
            <w:r>
              <w:t>P0，数据扩展前冻结</w:t>
            </w:r>
          </w:p>
        </w:tc>
      </w:tr>
      <w:tr>
        <w:tc>
          <w:tcPr>
            <w:tcW w:type="dxa" w:w="3173"/>
          </w:tcPr>
          <w:p>
            <w:r>
              <w:t>R12 方法选择偏差</w:t>
            </w:r>
          </w:p>
        </w:tc>
        <w:tc>
          <w:tcPr>
            <w:tcW w:type="dxa" w:w="3173"/>
          </w:tcPr>
          <w:p>
            <w:r>
              <w:t>Symbolic Feedback与可选模块采用Dev阶段预注册decision rule；Test后不得按结果保留/删除。</w:t>
            </w:r>
          </w:p>
        </w:tc>
        <w:tc>
          <w:tcPr>
            <w:tcW w:type="dxa" w:w="3173"/>
          </w:tcPr>
          <w:p>
            <w:r>
              <w:t>P0，Test前冻结</w:t>
            </w:r>
          </w:p>
        </w:tc>
      </w:tr>
      <w:tr>
        <w:tc>
          <w:tcPr>
            <w:tcW w:type="dxa" w:w="3173"/>
          </w:tcPr>
          <w:p>
            <w:r>
              <w:t>R13 理论形式化包装</w:t>
            </w:r>
          </w:p>
        </w:tc>
        <w:tc>
          <w:tcPr>
            <w:tcW w:type="dxa" w:w="3173"/>
            <w:vAlign w:val="center"/>
          </w:tcPr>
          <w:p>
            <w:r>
              <w:t>理论核心转为Γ确定性与失败原子拒绝安全性Theorem；Candidate-Blind、选择性风险、有限优化和历史状态按辅助性质定位。</w:t>
            </w:r>
          </w:p>
        </w:tc>
        <w:tc>
          <w:tcPr>
            <w:tcW w:type="dxa" w:w="3173"/>
          </w:tcPr>
          <w:p>
            <w:r>
              <w:t>P0/P1，投稿前完成</w:t>
            </w:r>
          </w:p>
        </w:tc>
      </w:tr>
      <w:tr>
        <w:tc>
          <w:tcPr>
            <w:tcW w:type="dxa" w:w="3173"/>
          </w:tcPr>
          <w:p>
            <w:r>
              <w:t>R14 Locality-CQ越界</w:t>
            </w:r>
          </w:p>
        </w:tc>
        <w:tc>
          <w:tcPr>
            <w:tcW w:type="dxa" w:w="3173"/>
          </w:tcPr>
          <w:p>
            <w:r>
              <w:t>Locality module不默认保持任意CQ；主CQ回归在完整本体执行，局部CQ仅作为E11 agreement探索。</w:t>
            </w:r>
          </w:p>
        </w:tc>
        <w:tc>
          <w:tcPr>
            <w:tcW w:type="dxa" w:w="3173"/>
          </w:tcPr>
          <w:p>
            <w:r>
              <w:t>P0，评价协议前冻结</w:t>
            </w:r>
          </w:p>
        </w:tc>
      </w:tr>
      <w:tr>
        <w:tc>
          <w:tcPr>
            <w:tcW w:type="dxa" w:w="3173"/>
          </w:tcPr>
          <w:p>
            <w:r>
              <w:t>R15 Task Ontology外部效度</w:t>
            </w:r>
          </w:p>
        </w:tc>
        <w:tc>
          <w:tcPr>
            <w:tcW w:type="dxa" w:w="3173"/>
          </w:tcPr>
          <w:p>
            <w:r>
              <w:t>公开任务本体构建规则和规模统计，并加入至少一个公开真实OWL本体external-validation subset。</w:t>
            </w:r>
          </w:p>
        </w:tc>
        <w:tc>
          <w:tcPr>
            <w:tcW w:type="dxa" w:w="3173"/>
          </w:tcPr>
          <w:p>
            <w:r>
              <w:t>P1，投稿前完成</w:t>
            </w:r>
          </w:p>
        </w:tc>
      </w:tr>
      <w:tr>
        <w:tc>
          <w:tcPr>
            <w:tcW w:type="dxa" w:w="3173"/>
            <w:vAlign w:val="center"/>
            <w:tcMar>
              <w:top w:w="80" w:type="dxa"/>
              <w:left w:w="80" w:type="dxa"/>
              <w:bottom w:w="80" w:type="dxa"/>
              <w:right w:w="80" w:type="dxa"/>
            </w:tcMar>
          </w:tcPr>
          <w:p>
            <w:r>
              <w:t>R16 决策状态混淆</w:t>
            </w:r>
          </w:p>
        </w:tc>
        <w:tc>
          <w:tcPr>
            <w:tcW w:type="dxa" w:w="3173"/>
            <w:vAlign w:val="center"/>
            <w:tcMar>
              <w:top w:w="80" w:type="dxa"/>
              <w:left w:w="80" w:type="dxa"/>
              <w:bottom w:w="80" w:type="dxa"/>
              <w:right w:w="80" w:type="dxa"/>
            </w:tcMar>
          </w:tcPr>
          <w:p>
            <w:r>
              <w:t>REPAIR、NO_CHANGE、ABSTAIN三态分离；No-Drift正确答案为NO_CHANGE，ABSTAIN计入SES失败与Coverage损失。</w:t>
            </w:r>
          </w:p>
        </w:tc>
        <w:tc>
          <w:tcPr>
            <w:tcW w:type="dxa" w:w="3173"/>
            <w:vAlign w:val="center"/>
            <w:tcMar>
              <w:top w:w="80" w:type="dxa"/>
              <w:left w:w="80" w:type="dxa"/>
              <w:bottom w:w="80" w:type="dxa"/>
              <w:right w:w="80" w:type="dxa"/>
            </w:tcMar>
          </w:tcPr>
          <w:p>
            <w:r>
              <w:t>P0，代码与评测前冻结</w:t>
            </w:r>
          </w:p>
        </w:tc>
      </w:tr>
      <w:tr>
        <w:tc>
          <w:tcPr>
            <w:tcW w:type="dxa" w:w="3173"/>
            <w:vAlign w:val="center"/>
            <w:tcMar>
              <w:top w:w="80" w:type="dxa"/>
              <w:left w:w="80" w:type="dxa"/>
              <w:bottom w:w="80" w:type="dxa"/>
              <w:right w:w="80" w:type="dxa"/>
            </w:tcMar>
          </w:tcPr>
          <w:p>
            <w:r>
              <w:t>R17 Gold Oracle渗透</w:t>
            </w:r>
          </w:p>
        </w:tc>
        <w:tc>
          <w:tcPr>
            <w:tcW w:type="dxa" w:w="3173"/>
            <w:vAlign w:val="center"/>
            <w:tcMar>
              <w:top w:w="80" w:type="dxa"/>
              <w:left w:w="80" w:type="dxa"/>
              <w:bottom w:w="80" w:type="dxa"/>
              <w:right w:w="80" w:type="dxa"/>
            </w:tcMar>
          </w:tcPr>
          <w:p>
            <w:r>
              <w:t>在线可行集F_t^op只含任务时可得约束；gold repair/ontology/CQ仅用于盲测Correct_eval。</w:t>
            </w:r>
          </w:p>
        </w:tc>
        <w:tc>
          <w:tcPr>
            <w:tcW w:type="dxa" w:w="3173"/>
            <w:vAlign w:val="center"/>
            <w:tcMar>
              <w:top w:w="80" w:type="dxa"/>
              <w:left w:w="80" w:type="dxa"/>
              <w:bottom w:w="80" w:type="dxa"/>
              <w:right w:w="80" w:type="dxa"/>
            </w:tcMar>
          </w:tcPr>
          <w:p>
            <w:r>
              <w:t>P0，算法定义前冻结</w:t>
            </w:r>
          </w:p>
        </w:tc>
      </w:tr>
      <w:tr>
        <w:tc>
          <w:tcPr>
            <w:tcW w:type="dxa" w:w="3173"/>
            <w:vAlign w:val="center"/>
            <w:tcMar>
              <w:top w:w="80" w:type="dxa"/>
              <w:left w:w="80" w:type="dxa"/>
              <w:bottom w:w="80" w:type="dxa"/>
              <w:right w:w="80" w:type="dxa"/>
            </w:tcMar>
          </w:tcPr>
          <w:p>
            <w:r>
              <w:t>R18 OWL规范语义错位</w:t>
            </w:r>
          </w:p>
        </w:tc>
        <w:tc>
          <w:tcPr>
            <w:tcW w:type="dxa" w:w="3173"/>
            <w:vAlign w:val="center"/>
            <w:tcMar>
              <w:top w:w="80" w:type="dxa"/>
              <w:left w:w="80" w:type="dxa"/>
              <w:bottom w:w="80" w:type="dxa"/>
              <w:right w:w="80" w:type="dxa"/>
            </w:tcMar>
          </w:tcPr>
          <w:p>
            <w:r>
              <w:t>规范元层先产生Validated Repair IR；Γ仅对冻结支持片段做确定性OWL AST编译，未支持构造安全拒绝。</w:t>
            </w:r>
          </w:p>
        </w:tc>
        <w:tc>
          <w:tcPr>
            <w:tcW w:type="dxa" w:w="3173"/>
            <w:vAlign w:val="center"/>
            <w:tcMar>
              <w:top w:w="80" w:type="dxa"/>
              <w:left w:w="80" w:type="dxa"/>
              <w:bottom w:w="80" w:type="dxa"/>
              <w:right w:w="80" w:type="dxa"/>
            </w:tcMar>
          </w:tcPr>
          <w:p>
            <w:r>
              <w:t>P0，语义IR与补丁实现前冻结</w:t>
            </w:r>
          </w:p>
        </w:tc>
      </w:tr>
      <w:tr>
        <w:tc>
          <w:tcPr>
            <w:tcW w:type="dxa" w:w="3173"/>
            <w:vAlign w:val="center"/>
            <w:tcMar>
              <w:top w:w="80" w:type="dxa"/>
              <w:left w:w="80" w:type="dxa"/>
              <w:bottom w:w="80" w:type="dxa"/>
              <w:right w:w="80" w:type="dxa"/>
            </w:tcMar>
          </w:tcPr>
          <w:p>
            <w:r>
              <w:t>R19 候选上游泄漏</w:t>
            </w:r>
          </w:p>
        </w:tc>
        <w:tc>
          <w:tcPr>
            <w:tcW w:type="dxa" w:w="3173"/>
            <w:vAlign w:val="center"/>
            <w:tcMar>
              <w:top w:w="80" w:type="dxa"/>
              <w:left w:w="80" w:type="dxa"/>
              <w:bottom w:w="80" w:type="dxa"/>
              <w:right w:w="80" w:type="dxa"/>
            </w:tcMar>
          </w:tcPr>
          <w:p>
            <w:r>
              <w:t>Retriever与N_sem同时排除候选条件化信息；以do(C)式扰动进行Non-Interference Audit。</w:t>
            </w:r>
          </w:p>
        </w:tc>
        <w:tc>
          <w:tcPr>
            <w:tcW w:type="dxa" w:w="3173"/>
            <w:vAlign w:val="center"/>
            <w:tcMar>
              <w:top w:w="80" w:type="dxa"/>
              <w:left w:w="80" w:type="dxa"/>
              <w:bottom w:w="80" w:type="dxa"/>
              <w:right w:w="80" w:type="dxa"/>
            </w:tcMar>
          </w:tcPr>
          <w:p>
            <w:r>
              <w:t>P0，Prompt与检索协议前冻结</w:t>
            </w:r>
          </w:p>
        </w:tc>
      </w:tr>
      <w:tr>
        <w:tc>
          <w:tcPr>
            <w:tcW w:type="dxa" w:w="3173"/>
            <w:vAlign w:val="center"/>
            <w:tcMar>
              <w:top w:w="80" w:type="dxa"/>
              <w:left w:w="80" w:type="dxa"/>
              <w:bottom w:w="80" w:type="dxa"/>
              <w:right w:w="80" w:type="dxa"/>
            </w:tcMar>
          </w:tcPr>
          <w:p>
            <w:r>
              <w:t>R20 数据口径不一致</w:t>
            </w:r>
          </w:p>
        </w:tc>
        <w:tc>
          <w:tcPr>
            <w:tcW w:type="dxa" w:w="3173"/>
            <w:vAlign w:val="center"/>
            <w:tcMar>
              <w:top w:w="80" w:type="dxa"/>
              <w:left w:w="80" w:type="dxa"/>
              <w:bottom w:w="80" w:type="dxa"/>
              <w:right w:w="80" w:type="dxa"/>
            </w:tcMar>
          </w:tcPr>
          <w:p>
            <w:r>
              <w:t>建立264→213逐事件谱系与51项差额说明；冻结213重新运行；旧264/v1/v2结果仅作历史记录。</w:t>
            </w:r>
          </w:p>
        </w:tc>
        <w:tc>
          <w:tcPr>
            <w:tcW w:type="dxa" w:w="3173"/>
            <w:vAlign w:val="center"/>
            <w:tcMar>
              <w:top w:w="80" w:type="dxa"/>
              <w:left w:w="80" w:type="dxa"/>
              <w:bottom w:w="80" w:type="dxa"/>
              <w:right w:w="80" w:type="dxa"/>
            </w:tcMar>
          </w:tcPr>
          <w:p>
            <w:r>
              <w:t>P0，power与数据扩展前冻结</w:t>
            </w:r>
          </w:p>
        </w:tc>
      </w:tr>
      <w:tr>
        <w:tc>
          <w:tcPr>
            <w:tcW w:type="dxa" w:w="3173"/>
            <w:vAlign w:val="center"/>
            <w:tcMar>
              <w:top w:w="80" w:type="dxa"/>
              <w:left w:w="80" w:type="dxa"/>
              <w:bottom w:w="80" w:type="dxa"/>
              <w:right w:w="80" w:type="dxa"/>
            </w:tcMar>
          </w:tcPr>
          <w:p>
            <w:r>
              <w:t>R21 Γ仅为概念契约</w:t>
            </w:r>
          </w:p>
        </w:tc>
        <w:tc>
          <w:tcPr>
            <w:tcW w:type="dxa" w:w="3173"/>
            <w:vAlign w:val="center"/>
            <w:tcMar>
              <w:top w:w="80" w:type="dxa"/>
              <w:left w:w="80" w:type="dxa"/>
              <w:bottom w:w="80" w:type="dxa"/>
              <w:right w:w="80" w:type="dxa"/>
            </w:tcMar>
          </w:tcPr>
          <w:p>
            <w:r>
              <w:t>在RFC 213上实现3–5种高覆盖构造的真实编译器：严格Schema、穷举switch/match、前置条件检查、Canonical OWL AST和失败原子事务。</w:t>
            </w:r>
          </w:p>
        </w:tc>
        <w:tc>
          <w:tcPr>
            <w:tcW w:type="dxa" w:w="3173"/>
            <w:vAlign w:val="center"/>
            <w:tcMar>
              <w:top w:w="80" w:type="dxa"/>
              <w:left w:w="80" w:type="dxa"/>
              <w:bottom w:w="80" w:type="dxa"/>
              <w:right w:w="80" w:type="dxa"/>
            </w:tcMar>
          </w:tcPr>
          <w:p>
            <w:r>
              <w:t>P0，所有端到端实验之前</w:t>
            </w:r>
          </w:p>
        </w:tc>
      </w:tr>
      <w:tr>
        <w:tc>
          <w:tcPr>
            <w:tcW w:type="dxa" w:w="3173"/>
            <w:vAlign w:val="center"/>
            <w:tcMar>
              <w:top w:w="80" w:type="dxa"/>
              <w:left w:w="80" w:type="dxa"/>
              <w:bottom w:w="80" w:type="dxa"/>
              <w:right w:w="80" w:type="dxa"/>
            </w:tcMar>
          </w:tcPr>
          <w:p>
            <w:r>
              <w:t>R22 编译正确性不可归因</w:t>
            </w:r>
          </w:p>
        </w:tc>
        <w:tc>
          <w:tcPr>
            <w:tcW w:type="dxa" w:w="3173"/>
            <w:vAlign w:val="center"/>
            <w:tcMar>
              <w:top w:w="80" w:type="dxa"/>
              <w:left w:w="80" w:type="dxa"/>
              <w:bottom w:w="80" w:type="dxa"/>
              <w:right w:w="80" w:type="dxa"/>
            </w:tcMar>
          </w:tcPr>
          <w:p>
            <w:r>
              <w:t>新增E0 Gold IR→OWL独立评估，分别测AST、patch、Reasoner语义与拒绝安全；未支持事件进入Coverage分母。</w:t>
            </w:r>
          </w:p>
        </w:tc>
        <w:tc>
          <w:tcPr>
            <w:tcW w:type="dxa" w:w="3173"/>
            <w:vAlign w:val="center"/>
            <w:tcMar>
              <w:top w:w="80" w:type="dxa"/>
              <w:left w:w="80" w:type="dxa"/>
              <w:bottom w:w="80" w:type="dxa"/>
              <w:right w:w="80" w:type="dxa"/>
            </w:tcMar>
          </w:tcPr>
          <w:p>
            <w:r>
              <w:t>P0，Γ实现完成后立即执行</w:t>
            </w:r>
          </w:p>
        </w:tc>
      </w:tr>
      <w:tr>
        <w:tc>
          <w:tcPr>
            <w:tcW w:type="dxa" w:w="3173"/>
            <w:vAlign w:val="center"/>
            <w:tcMar>
              <w:top w:w="80" w:type="dxa"/>
              <w:left w:w="80" w:type="dxa"/>
              <w:bottom w:w="80" w:type="dxa"/>
              <w:right w:w="80" w:type="dxa"/>
            </w:tcMar>
          </w:tcPr>
          <w:p>
            <w:r>
              <w:t>R23 SES掩盖保守性</w:t>
            </w:r>
          </w:p>
        </w:tc>
        <w:tc>
          <w:tcPr>
            <w:tcW w:type="dxa" w:w="3173"/>
            <w:vAlign w:val="center"/>
            <w:tcMar>
              <w:top w:w="80" w:type="dxa"/>
              <w:left w:w="80" w:type="dxa"/>
              <w:bottom w:w="80" w:type="dxa"/>
              <w:right w:w="80" w:type="dxa"/>
            </w:tcMar>
          </w:tcPr>
          <w:p>
            <w:r>
              <w:t>SES保留唯一主终点；Dev阈值受WRR上限与最低Coverage约束，并报告Risk–Coverage、AURC和失败分解。</w:t>
            </w:r>
          </w:p>
        </w:tc>
        <w:tc>
          <w:tcPr>
            <w:tcW w:type="dxa" w:w="3173"/>
            <w:vAlign w:val="center"/>
            <w:tcMar>
              <w:top w:w="80" w:type="dxa"/>
              <w:left w:w="80" w:type="dxa"/>
              <w:bottom w:w="80" w:type="dxa"/>
              <w:right w:w="80" w:type="dxa"/>
            </w:tcMar>
          </w:tcPr>
          <w:p>
            <w:r>
              <w:t>P0，端到端协议冻结前</w:t>
            </w:r>
          </w:p>
        </w:tc>
      </w:tr>
    </w:tbl>
    <w:p>
      <w:r>
        <w:rPr>
          <w:rFonts w:ascii="Aptos" w:hAnsi="Aptos" w:eastAsia="宋体"/>
          <w:sz w:val="21"/>
        </w:rPr>
        <w:t>V1.7的核心原则：先做出一个范围有限但真实、确定、可拒绝、可测试的Γ，再围绕它建立端到端证据。自然语言规范理解不进入Γ；不支持构造不强制编译；Gold IR验证不替代上游正确性；SES不替代风险—覆盖分析；RFC 213先确认，外部领域按功效扩展；264→213必须完全可追溯。</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黑体"/>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黑体"/>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Block">
    <w:name w:val="EquationBlock"/>
    <w:pPr>
      <w:spacing w:before="60" w:after="60"/>
      <w:ind w:left="454"/>
    </w:pPr>
    <w:rPr>
      <w:rFonts w:ascii="Cambria Math" w:hAnsi="Cambria Math" w:eastAsia="Cambria Math"/>
      <w:sz w:val="21"/>
    </w:rPr>
  </w:style>
  <w:style w:type="paragraph" w:customStyle="1" w:styleId="SmallNote">
    <w:name w:val="SmallNote"/>
    <w:rPr>
      <w:rFonts w:ascii="Aptos" w:hAnsi="Aptos" w:eastAsia="宋体"/>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ECR-Repair 一区版最新理论路线与完整升级计划 V1.7</dc:title>
  <dc:subject>Deterministic Compiler-First Refinement</dc:subject>
  <dc:creator>python-docx</dc:creator>
  <cp:keywords/>
  <dc:description>V1.7 frozen research route</dc:description>
  <cp:lastModifiedBy/>
  <cp:revision>1</cp:revision>
  <dcterms:created xsi:type="dcterms:W3CDTF">2013-12-23T23:15:00Z</dcterms:created>
  <dcterms:modified xsi:type="dcterms:W3CDTF">2013-12-23T23:15:00Z</dcterms:modified>
  <cp:category/>
</cp:coreProperties>
</file>