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4DB8B">
      <w:pPr>
        <w:jc w:val="center"/>
        <w:rPr>
          <w:rFonts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t>T</w:t>
      </w:r>
      <w:r>
        <w:rPr>
          <w:rFonts w:ascii="华文中宋" w:hAnsi="华文中宋" w:eastAsia="华文中宋"/>
          <w:sz w:val="32"/>
        </w:rPr>
        <w:t>1</w:t>
      </w:r>
      <w:r>
        <w:rPr>
          <w:rFonts w:hint="eastAsia" w:ascii="华文中宋" w:hAnsi="华文中宋" w:eastAsia="华文中宋"/>
          <w:sz w:val="32"/>
        </w:rPr>
        <w:t>基金交易系统V</w:t>
      </w:r>
      <w:r>
        <w:rPr>
          <w:rFonts w:ascii="华文中宋" w:hAnsi="华文中宋" w:eastAsia="华文中宋"/>
          <w:sz w:val="32"/>
        </w:rPr>
        <w:t>1.0</w:t>
      </w:r>
    </w:p>
    <w:p w14:paraId="646750F7">
      <w:pPr>
        <w:ind w:firstLine="420" w:firstLineChars="2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一、入市</w:t>
      </w:r>
    </w:p>
    <w:p w14:paraId="6A99FC07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55日突破：只要价格超过了前55日的最高价或最低价，就在突破方向建立头寸。</w:t>
      </w:r>
    </w:p>
    <w:p w14:paraId="306692C1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总是在日间突破发生时进行交易，不等到每日收盘或次日开盘。在开盘跳空的情况下，如果市场开盘超过了突破的价位，一开盘就建立头寸。</w:t>
      </w:r>
    </w:p>
    <w:p w14:paraId="6A18B367">
      <w:pPr>
        <w:ind w:firstLine="420" w:firstLineChars="2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二、加仓</w:t>
      </w:r>
    </w:p>
    <w:p w14:paraId="50A76696">
      <w:pPr>
        <w:ind w:firstLine="422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b/>
          <w:szCs w:val="21"/>
        </w:rPr>
        <w:t>波动性-N：</w:t>
      </w:r>
      <w:r>
        <w:rPr>
          <w:rFonts w:hint="eastAsia" w:ascii="仿宋_GB2312" w:eastAsia="仿宋_GB2312"/>
          <w:szCs w:val="21"/>
        </w:rPr>
        <w:t>N就是TR（True Range，实际范围）的20日指数移动平均，简称ATR。N表示单个交易日某个特定市场所造成的价格波动的平均范围。</w:t>
      </w:r>
    </w:p>
    <w:p w14:paraId="41175F1C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TR（实际范围）=MAX(H-L,H-PDC,PDC-L)。H-当日最高价；L-当日最低价；PDC-前个交易日的收盘价。</w:t>
      </w:r>
    </w:p>
    <w:p w14:paraId="38A88E1D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N=(19×PDN+TR)/20。PDN：前个交易日的N值；TR：当日的实际范围。</w:t>
      </w:r>
    </w:p>
    <w:p w14:paraId="3560B951">
      <w:pPr>
        <w:ind w:firstLine="420" w:firstLineChars="200"/>
        <w:rPr>
          <w:rFonts w:ascii="仿宋_GB2312" w:eastAsia="仿宋_GB2312"/>
          <w:color w:val="FF0000"/>
          <w:szCs w:val="21"/>
        </w:rPr>
      </w:pPr>
      <w:r>
        <w:rPr>
          <w:rFonts w:hint="eastAsia" w:ascii="仿宋_GB2312" w:eastAsia="仿宋_GB2312"/>
          <w:color w:val="FF0000"/>
          <w:szCs w:val="21"/>
        </w:rPr>
        <w:t>A</w:t>
      </w:r>
      <w:r>
        <w:rPr>
          <w:rFonts w:ascii="仿宋_GB2312" w:eastAsia="仿宋_GB2312"/>
          <w:color w:val="FF0000"/>
          <w:szCs w:val="21"/>
        </w:rPr>
        <w:t>TR</w:t>
      </w:r>
      <w:r>
        <w:rPr>
          <w:rFonts w:hint="eastAsia" w:ascii="仿宋_GB2312" w:eastAsia="仿宋_GB2312"/>
          <w:color w:val="FF0000"/>
          <w:szCs w:val="21"/>
        </w:rPr>
        <w:t>实操过程中</w:t>
      </w:r>
      <w:bookmarkStart w:id="0" w:name="_GoBack"/>
      <w:bookmarkEnd w:id="0"/>
      <w:r>
        <w:rPr>
          <w:rFonts w:hint="eastAsia" w:ascii="仿宋_GB2312" w:eastAsia="仿宋_GB2312"/>
          <w:color w:val="FF0000"/>
          <w:szCs w:val="21"/>
        </w:rPr>
        <w:t>文华财经软件直接选择A</w:t>
      </w:r>
      <w:r>
        <w:rPr>
          <w:rFonts w:ascii="仿宋_GB2312" w:eastAsia="仿宋_GB2312"/>
          <w:color w:val="FF0000"/>
          <w:szCs w:val="21"/>
        </w:rPr>
        <w:t>TR</w:t>
      </w:r>
      <w:r>
        <w:rPr>
          <w:rFonts w:hint="eastAsia" w:ascii="仿宋_GB2312" w:eastAsia="仿宋_GB2312"/>
          <w:color w:val="FF0000"/>
          <w:szCs w:val="21"/>
        </w:rPr>
        <w:t>指标，设置参数值20日。</w:t>
      </w:r>
    </w:p>
    <w:p w14:paraId="5AB2168A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头寸规模单位=（总资金*1%）/（</w:t>
      </w:r>
      <w:r>
        <w:rPr>
          <w:rFonts w:ascii="仿宋_GB2312" w:eastAsia="仿宋_GB2312"/>
          <w:szCs w:val="21"/>
        </w:rPr>
        <w:t>N*</w:t>
      </w:r>
      <w:r>
        <w:rPr>
          <w:rFonts w:hint="eastAsia" w:ascii="仿宋_GB2312" w:eastAsia="仿宋_GB2312"/>
          <w:szCs w:val="21"/>
        </w:rPr>
        <w:t>每一点代表的人民币）</w:t>
      </w:r>
    </w:p>
    <w:p w14:paraId="7D179C39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突破时只建立一个单位的头寸，在建立头寸后以1/2N的间隔增加头寸，直到在达到最大许可单位，最大4个单位。如果出现跳空的情况无法在设定点位成交，则开盘或盘中直接以市场价格增加头寸。</w:t>
      </w:r>
    </w:p>
    <w:p w14:paraId="0DD12CB9">
      <w:pPr>
        <w:ind w:firstLine="420" w:firstLineChars="2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三、止损</w:t>
      </w:r>
    </w:p>
    <w:p w14:paraId="2CAD6BFB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以头寸风险为基础设置止损。任何一笔交易都不能出现2%以上的风险。所以容许风险为2%的最大止损就是价格波动2N。</w:t>
      </w:r>
    </w:p>
    <w:p w14:paraId="14144D8F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为了保证全部头寸的风险最小，如果另外增加单位，前面单位的止损就提高1/2N。或者因开盘跳空而以较大的间隔设置的情况下，前序仓位止损不做动态调整。 </w:t>
      </w:r>
    </w:p>
    <w:p w14:paraId="69F02477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例如：原油，N=1.20 </w:t>
      </w:r>
    </w:p>
    <w:p w14:paraId="3CB3C7F1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　　55日突破=28.30</w:t>
      </w:r>
    </w:p>
    <w:p w14:paraId="580A32CE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入市价格           止损 </w:t>
      </w:r>
    </w:p>
    <w:p w14:paraId="1A4BE2E7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第一个单位 28.30   25.90</w:t>
      </w:r>
    </w:p>
    <w:p w14:paraId="6C4C7821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入市价格           止损 </w:t>
      </w:r>
    </w:p>
    <w:p w14:paraId="4CA97D61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第一个单位 28.30   26.50 </w:t>
      </w:r>
    </w:p>
    <w:p w14:paraId="1D3BC197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第二个单位 28.90   26.50</w:t>
      </w:r>
    </w:p>
    <w:p w14:paraId="187E7F0C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入市价格           止损 </w:t>
      </w:r>
    </w:p>
    <w:p w14:paraId="47DCA3E2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第一个单位 28.30   27.10 </w:t>
      </w:r>
    </w:p>
    <w:p w14:paraId="7687FB9A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第二个单位 28.90   27.10 </w:t>
      </w:r>
    </w:p>
    <w:p w14:paraId="59CC2F5E">
      <w:pPr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第三个单位 29.50   27.10 </w:t>
      </w:r>
    </w:p>
    <w:p w14:paraId="0941FCB2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入市价格           止损 </w:t>
      </w:r>
    </w:p>
    <w:p w14:paraId="43880072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第一个单位 28.30   27.70 </w:t>
      </w:r>
    </w:p>
    <w:p w14:paraId="5385EFB4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第二个单位 28.90   27.70 </w:t>
      </w:r>
    </w:p>
    <w:p w14:paraId="5449A182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第三个单位 29.50   27.70 </w:t>
      </w:r>
    </w:p>
    <w:p w14:paraId="27C5DF41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第四个单位 30.10   27.70 </w:t>
      </w:r>
    </w:p>
    <w:p w14:paraId="6D129115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因市场开盘跳空至30.80而使第四个单位以较高的价格增加的情况下：</w:t>
      </w:r>
    </w:p>
    <w:p w14:paraId="7C54D5FA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入市价格           止损 </w:t>
      </w:r>
    </w:p>
    <w:p w14:paraId="5DA1C1B1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第一个单位 28.30   27.70 </w:t>
      </w:r>
    </w:p>
    <w:p w14:paraId="21909678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第二个单位 28.90   27.70 </w:t>
      </w:r>
    </w:p>
    <w:p w14:paraId="42E9340A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 xml:space="preserve">　　第三个单位 29.50   27.70 </w:t>
      </w:r>
    </w:p>
    <w:p w14:paraId="077E3130">
      <w:pPr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　　第四个单位 30.80   28.40</w:t>
      </w:r>
    </w:p>
    <w:p w14:paraId="0F31B1D7">
      <w:pPr>
        <w:ind w:firstLine="420" w:firstLineChars="2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四、退出</w:t>
      </w:r>
    </w:p>
    <w:p w14:paraId="00804FD0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20日反向突破：离市对于多头头寸为20日最低价，对于空头头寸为20日最高价。</w:t>
      </w:r>
    </w:p>
    <w:p w14:paraId="558295B5">
      <w:pPr>
        <w:widowControl/>
        <w:jc w:val="left"/>
        <w:rPr>
          <w:rFonts w:ascii="仿宋_GB2312" w:eastAsia="仿宋_GB2312"/>
          <w:szCs w:val="21"/>
        </w:rPr>
      </w:pPr>
      <w:r>
        <w:rPr>
          <w:rFonts w:ascii="仿宋_GB2312" w:eastAsia="仿宋_GB2312"/>
          <w:szCs w:val="21"/>
        </w:rPr>
        <w:br w:type="page"/>
      </w:r>
    </w:p>
    <w:p w14:paraId="0DB634F9">
      <w:pPr>
        <w:ind w:firstLine="420" w:firstLineChars="2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五、交易品种</w:t>
      </w:r>
    </w:p>
    <w:p w14:paraId="221AE8D6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按照保证金占用资金量排序，选择交易活跃的品种。</w:t>
      </w:r>
    </w:p>
    <w:p w14:paraId="7D630BF1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黄金、白银、铁矿、螺纹、焦炭、镍、橡胶、铜、豆粕、豆油、郑醇、</w:t>
      </w:r>
      <w:r>
        <w:rPr>
          <w:rFonts w:ascii="仿宋_GB2312" w:eastAsia="仿宋_GB2312"/>
          <w:szCs w:val="21"/>
        </w:rPr>
        <w:t>PTA</w:t>
      </w:r>
      <w:r>
        <w:rPr>
          <w:rFonts w:hint="eastAsia" w:ascii="仿宋_GB2312" w:eastAsia="仿宋_GB2312"/>
          <w:szCs w:val="21"/>
        </w:rPr>
        <w:t>、郑棉、白糖、沥青、原油、热卷、燃油、锌、P</w:t>
      </w:r>
      <w:r>
        <w:rPr>
          <w:rFonts w:ascii="仿宋_GB2312" w:eastAsia="仿宋_GB2312"/>
          <w:szCs w:val="21"/>
        </w:rPr>
        <w:t>P</w:t>
      </w:r>
      <w:r>
        <w:rPr>
          <w:rFonts w:hint="eastAsia" w:ascii="仿宋_GB2312" w:eastAsia="仿宋_GB2312"/>
          <w:szCs w:val="21"/>
        </w:rPr>
        <w:t>、焦煤、棕榈、塑料、乙二醇、玉米、铝、纸浆、郑油、菜粕、P</w:t>
      </w:r>
      <w:r>
        <w:rPr>
          <w:rFonts w:ascii="仿宋_GB2312" w:eastAsia="仿宋_GB2312"/>
          <w:szCs w:val="21"/>
        </w:rPr>
        <w:t>VC</w:t>
      </w:r>
      <w:r>
        <w:rPr>
          <w:rFonts w:hint="eastAsia" w:ascii="仿宋_GB2312" w:eastAsia="仿宋_GB2312"/>
          <w:szCs w:val="21"/>
        </w:rPr>
        <w:t>、玻璃、郑煤、鸡蛋、苹果</w:t>
      </w:r>
    </w:p>
    <w:p w14:paraId="5BCE1136">
      <w:pPr>
        <w:ind w:firstLine="420" w:firstLine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强关联品种：黄金、白银；铁矿、螺纹；豆粕、豆油、菜粕、郑油；</w:t>
      </w:r>
    </w:p>
    <w:sectPr>
      <w:pgSz w:w="11906" w:h="16838"/>
      <w:pgMar w:top="709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609DD"/>
    <w:multiLevelType w:val="multilevel"/>
    <w:tmpl w:val="10D609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2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592"/>
    <w:rsid w:val="00105F78"/>
    <w:rsid w:val="002F588F"/>
    <w:rsid w:val="00481E23"/>
    <w:rsid w:val="00495DF9"/>
    <w:rsid w:val="005425BE"/>
    <w:rsid w:val="00615061"/>
    <w:rsid w:val="007776CB"/>
    <w:rsid w:val="00777888"/>
    <w:rsid w:val="0084192C"/>
    <w:rsid w:val="00874D26"/>
    <w:rsid w:val="008E28CF"/>
    <w:rsid w:val="009A1DD8"/>
    <w:rsid w:val="009B7476"/>
    <w:rsid w:val="00B27B4A"/>
    <w:rsid w:val="00C96592"/>
    <w:rsid w:val="00CA3737"/>
    <w:rsid w:val="00CD647D"/>
    <w:rsid w:val="1FED554B"/>
    <w:rsid w:val="32C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0"/>
    <w:pPr>
      <w:keepNext/>
      <w:keepLines/>
      <w:numPr>
        <w:ilvl w:val="1"/>
        <w:numId w:val="1"/>
      </w:numPr>
      <w:ind w:left="840" w:hanging="420"/>
      <w:outlineLvl w:val="1"/>
    </w:pPr>
    <w:rPr>
      <w:rFonts w:eastAsia="仿宋" w:asciiTheme="majorHAnsi" w:hAnsiTheme="majorHAnsi" w:cstheme="majorBidi"/>
      <w:b/>
      <w:bCs/>
      <w:sz w:val="30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字符"/>
    <w:basedOn w:val="4"/>
    <w:link w:val="2"/>
    <w:uiPriority w:val="0"/>
    <w:rPr>
      <w:rFonts w:eastAsia="仿宋" w:asciiTheme="majorHAnsi" w:hAnsiTheme="majorHAnsi" w:cstheme="majorBidi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861</Words>
  <Characters>1073</Characters>
  <Lines>8</Lines>
  <Paragraphs>2</Paragraphs>
  <TotalTime>1428</TotalTime>
  <ScaleCrop>false</ScaleCrop>
  <LinksUpToDate>false</LinksUpToDate>
  <CharactersWithSpaces>1221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2019-09-25T06:48:00Z</dcterms:created>
  <dc:creator>欧阳 立志</dc:creator>
  <cp:lastModifiedBy>孙进富</cp:lastModifiedBy>
  <dcterms:modified xsi:type="dcterms:W3CDTF">2026-04-28T10:24:38Z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eyJoZGlkIjoiZmI5ODIzZGMwZWJhZjU5NTFmNGIzYmNjMDQ5MGMzZmUiLCJ1c2VySWQiOiIzMDY1MTQ0MjQifQ==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B59A1939286040D7B3BB853A56CC746B_13</vt:lpwstr>
  </property>
</Properties>
</file>