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9F31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T1基金风控方案</w:t>
      </w:r>
    </w:p>
    <w:p w14:paraId="0B2B8070">
      <w:pPr>
        <w:pStyle w:val="10"/>
        <w:numPr>
          <w:ilvl w:val="0"/>
          <w:numId w:val="1"/>
        </w:numPr>
        <w:ind w:firstLine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基金规模</w:t>
      </w:r>
    </w:p>
    <w:p w14:paraId="48DCA9D1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T1基金总规模200万元人民币，由</w:t>
      </w:r>
      <w:r>
        <w:rPr>
          <w:rFonts w:hint="eastAsia"/>
          <w:sz w:val="28"/>
          <w:szCs w:val="28"/>
          <w:lang w:val="en-US" w:eastAsia="zh-CN"/>
        </w:rPr>
        <w:t>l、oy</w:t>
      </w:r>
      <w:r>
        <w:rPr>
          <w:rFonts w:hint="eastAsia"/>
          <w:sz w:val="28"/>
          <w:szCs w:val="28"/>
        </w:rPr>
        <w:t>各认缴基金总规模的50%，即每人认缴100万元人民币。</w:t>
      </w:r>
    </w:p>
    <w:p w14:paraId="244E481F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T1基金分为两期，其中第一期基金规模为100万元人民币，第一期缴款截至时间为2019年11月14日。第二期规模及缴款时间由海龟公司基金管理委员会视情况决定。</w:t>
      </w:r>
    </w:p>
    <w:p w14:paraId="57890F7A">
      <w:pPr>
        <w:pStyle w:val="10"/>
        <w:numPr>
          <w:ilvl w:val="0"/>
          <w:numId w:val="1"/>
        </w:numPr>
        <w:ind w:firstLine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入市时间</w:t>
      </w:r>
    </w:p>
    <w:p w14:paraId="10698D31">
      <w:pPr>
        <w:ind w:firstLine="56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T1基金第一期100万元，定于2019年11月18日入市。以海归交易法则进行投资。</w:t>
      </w:r>
    </w:p>
    <w:p w14:paraId="462A3E86">
      <w:pPr>
        <w:pStyle w:val="10"/>
        <w:numPr>
          <w:ilvl w:val="0"/>
          <w:numId w:val="1"/>
        </w:numPr>
        <w:ind w:firstLine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交易标的</w:t>
      </w:r>
    </w:p>
    <w:p w14:paraId="3FC66332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中国境内大宗商品期货交易市场流动性较高的期货品种。根据标的产品流动性的变化，海归公司基金管理委员会有权对名单进行增减。</w:t>
      </w:r>
    </w:p>
    <w:p w14:paraId="0EF48B2A">
      <w:pPr>
        <w:pStyle w:val="10"/>
        <w:numPr>
          <w:ilvl w:val="0"/>
          <w:numId w:val="1"/>
        </w:numPr>
        <w:ind w:firstLineChars="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名义总资金</w:t>
      </w:r>
    </w:p>
    <w:p w14:paraId="40077180">
      <w:pPr>
        <w:ind w:firstLine="56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2019年11月18日至2019年11月31日之间，名义总资金为50万元人民币。</w:t>
      </w:r>
    </w:p>
    <w:p w14:paraId="01FAD4CF">
      <w:pPr>
        <w:ind w:firstLine="56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2019年12月1日后，经过海龟公司基金管理委员会同意，名义总资金可上调为100万元人民币。</w:t>
      </w:r>
    </w:p>
    <w:p w14:paraId="47D31C27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第五条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基金内在价值</w:t>
      </w:r>
    </w:p>
    <w:p w14:paraId="7AF2A7BF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基金内在价值（</w:t>
      </w:r>
      <w:r>
        <w:rPr>
          <w:sz w:val="28"/>
          <w:szCs w:val="28"/>
        </w:rPr>
        <w:t xml:space="preserve">Intrinsic Value </w:t>
      </w:r>
      <w:r>
        <w:rPr>
          <w:rFonts w:hint="eastAsia"/>
          <w:sz w:val="28"/>
          <w:szCs w:val="28"/>
        </w:rPr>
        <w:t>简称I.V），即基金最保守的估值。I.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的计算方法为：</w:t>
      </w:r>
    </w:p>
    <w:p w14:paraId="5BC92FE1">
      <w:pPr>
        <w:ind w:firstLine="560" w:firstLineChars="20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以 “m</w:t>
      </w:r>
      <w:r>
        <w:rPr>
          <w:sz w:val="28"/>
          <w:szCs w:val="28"/>
        </w:rPr>
        <w:t>ax(</w:t>
      </w:r>
      <w:r>
        <w:rPr>
          <w:rFonts w:hint="eastAsia"/>
          <w:sz w:val="28"/>
          <w:szCs w:val="28"/>
        </w:rPr>
        <w:t>止损价，近20日最低价)” 对期货持仓进行估值再加上现金的价值。</w:t>
      </w:r>
    </w:p>
    <w:p w14:paraId="57995366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第六条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名义总资金的上调</w:t>
      </w:r>
    </w:p>
    <w:p w14:paraId="4153747A">
      <w:pPr>
        <w:ind w:firstLine="564"/>
        <w:jc w:val="left"/>
        <w:rPr>
          <w:sz w:val="28"/>
          <w:szCs w:val="28"/>
        </w:rPr>
      </w:pPr>
      <w:bookmarkStart w:id="0" w:name="_Hlk20225070"/>
      <w:r>
        <w:rPr>
          <w:rFonts w:hint="eastAsia"/>
          <w:sz w:val="28"/>
          <w:szCs w:val="28"/>
        </w:rPr>
        <w:t>每个月末最后一个交易日收盘后，如果</w:t>
      </w:r>
      <w:bookmarkEnd w:id="0"/>
      <w:r>
        <w:rPr>
          <w:rFonts w:hint="eastAsia"/>
          <w:sz w:val="28"/>
          <w:szCs w:val="28"/>
        </w:rPr>
        <w:t>基金的内在价值（I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V）大于当月的名义总资金，自下月第一个交易日起基金的名义总资金上调为I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>V</w:t>
      </w:r>
    </w:p>
    <w:p w14:paraId="1394CA99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第七条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名义总资金的下调</w:t>
      </w:r>
    </w:p>
    <w:p w14:paraId="79A063B5">
      <w:pPr>
        <w:ind w:firstLine="56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每个月末最后一个交易日收盘后，如果基金净值（以当前价格直接计算的基金价值，下同）低于初始投资的90%。自下个月第一个交易日起，基金名义总资金调整为初始投资的0.8倍。</w:t>
      </w:r>
    </w:p>
    <w:p w14:paraId="4CC94737">
      <w:pPr>
        <w:ind w:firstLine="56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每个月末最后一个交易日收盘后，如果基金净值低于初始投资的80%。自下月起实行投资静默期一个月，该静默期内不能继续新增头寸，但可以根据海龟系统退出原来持有的头寸。另外，隔月的第一个交易日起，基金名义总资金调整为初始投资的0.64倍。</w:t>
      </w:r>
    </w:p>
    <w:p w14:paraId="2F0EAEF9"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第八条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</w:rPr>
        <w:t>强制清盘</w:t>
      </w:r>
    </w:p>
    <w:p w14:paraId="279E2F41">
      <w:pPr>
        <w:jc w:val="left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基金设置强制清盘线为70%。在任何一个交易日收盘后，如果基金净值低于初始投资的70%，则下一个交易日应强制清盘，无条件退出全部持仓。</w:t>
      </w:r>
    </w:p>
    <w:p w14:paraId="3119694C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第九条 </w:t>
      </w:r>
      <w:r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风险度控制</w:t>
      </w:r>
    </w:p>
    <w:p w14:paraId="5FD4F808">
      <w:pPr>
        <w:ind w:firstLine="564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交易所调整期货保证金比例，如该调整导致基金账户实际风险度超过90%时，则必须在接下来第一个交易日进行减仓，直至风险度低于90%，方式为按保证金上调程度进行等比例减仓。</w:t>
      </w:r>
    </w:p>
    <w:p w14:paraId="0E0C6CF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第十条 </w:t>
      </w:r>
      <w:r>
        <w:rPr>
          <w:b/>
          <w:bCs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交割月前退出</w:t>
      </w:r>
    </w:p>
    <w:p w14:paraId="12DAD9AA">
      <w:pPr>
        <w:jc w:val="left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任何一笔头寸都不能进入交割月，必须在进入交割月之前最后</w:t>
      </w:r>
      <w:bookmarkStart w:id="1" w:name="_GoBack"/>
      <w:bookmarkEnd w:id="1"/>
      <w:r>
        <w:rPr>
          <w:rFonts w:hint="eastAsia"/>
          <w:sz w:val="28"/>
          <w:szCs w:val="28"/>
        </w:rPr>
        <w:t>一个交易日退出头寸。强制退出时间为交割月之前最后一个交易日的下午14：30。</w:t>
      </w:r>
    </w:p>
    <w:p w14:paraId="53B1D2D3">
      <w:pPr>
        <w:jc w:val="left"/>
        <w:rPr>
          <w:sz w:val="28"/>
          <w:szCs w:val="28"/>
        </w:rPr>
      </w:pPr>
    </w:p>
    <w:p w14:paraId="41B94232">
      <w:pPr>
        <w:jc w:val="left"/>
        <w:rPr>
          <w:sz w:val="28"/>
          <w:szCs w:val="28"/>
        </w:rPr>
      </w:pPr>
    </w:p>
    <w:p w14:paraId="73FCFDA9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附加：</w:t>
      </w:r>
    </w:p>
    <w:p w14:paraId="12A1B9B4">
      <w:p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账户风险度控制方案：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1、账户风险度&gt;90%，停止开仓、暂停所有条件单并开始执行砍仓。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2、砍仓后应使得风险度降低到90%以内。砍仓优先级：依次砍掉亏损金额最高的合约。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3、砍仓后，若盈利、止损、退出造成账户风险度下降，且交易日（T日）日终账户风险度低于80%时，可于下一个交易日（T+1交易日）重新开仓。T+1交易日，应根据最新的《交易系统》挂条件单进行交易。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0662D"/>
    <w:multiLevelType w:val="multilevel"/>
    <w:tmpl w:val="0E80662D"/>
    <w:lvl w:ilvl="0" w:tentative="0">
      <w:start w:val="1"/>
      <w:numFmt w:val="japaneseCounting"/>
      <w:lvlText w:val="第%1条"/>
      <w:lvlJc w:val="left"/>
      <w:pPr>
        <w:ind w:left="1116" w:hanging="111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DC1"/>
    <w:rsid w:val="000C5B25"/>
    <w:rsid w:val="002A569D"/>
    <w:rsid w:val="004E0DC1"/>
    <w:rsid w:val="00552364"/>
    <w:rsid w:val="006B6601"/>
    <w:rsid w:val="007D564F"/>
    <w:rsid w:val="00884658"/>
    <w:rsid w:val="008E2C53"/>
    <w:rsid w:val="008F3DF2"/>
    <w:rsid w:val="00991C0C"/>
    <w:rsid w:val="00B4026C"/>
    <w:rsid w:val="00BD7EE5"/>
    <w:rsid w:val="00C1609D"/>
    <w:rsid w:val="00CC4D5A"/>
    <w:rsid w:val="00D30524"/>
    <w:rsid w:val="00E57B77"/>
    <w:rsid w:val="4BDF36EB"/>
    <w:rsid w:val="59530646"/>
    <w:rsid w:val="67E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8">
    <w:name w:val="标题 2 字符"/>
    <w:basedOn w:val="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标题 3 字符"/>
    <w:basedOn w:val="6"/>
    <w:link w:val="4"/>
    <w:qFormat/>
    <w:uiPriority w:val="9"/>
    <w:rPr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1043</Words>
  <Characters>1138</Characters>
  <Lines>8</Lines>
  <Paragraphs>2</Paragraphs>
  <TotalTime>85</TotalTime>
  <ScaleCrop>false</ScaleCrop>
  <LinksUpToDate>false</LinksUpToDate>
  <CharactersWithSpaces>1177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2019-09-24T05:02:00Z</dcterms:created>
  <dc:creator>刘 广珺</dc:creator>
  <cp:lastModifiedBy>孙进富</cp:lastModifiedBy>
  <dcterms:modified xsi:type="dcterms:W3CDTF">2026-04-28T10:37:12Z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eyJoZGlkIjoiZmI5ODIzZGMwZWJhZjU5NTFmNGIzYmNjMDQ5MGMzZmUiLCJ1c2VySWQiOiIzMDY1MTQ0MjQifQ==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21735DDA9F2A47B6BDE99C0CF03CF86F_13</vt:lpwstr>
  </property>
</Properties>
</file>