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</w:pPr>
      <w:r>
        <w:t>HealthAgent 模块二个人测试报告</w:t>
      </w:r>
    </w:p>
    <w:p>
      <w:r>
        <w:t>袁立沛 M202677260；2026年9月14日；AI辅助整理，待本人复核</w:t>
      </w:r>
    </w:p>
    <w:p>
      <w:r>
        <w:t>本部分覆盖血压记录输入、写权限隔离、统计与时间边界，新增10条测试全部通过。另完成已有认证缺陷的自动化复测与小组材料整合。本轮未发现新增缺陷，未修改业务代码，未执行Git提交。</w:t>
      </w:r>
    </w:p>
    <w:p>
      <w:pPr>
        <w:pStyle w:val="1"/>
      </w:pPr>
      <w:r>
        <w:t>1 被测对象及AI融合方案概述</w:t>
      </w:r>
    </w:p>
    <w:p>
      <w:r>
        <w:t>HealthAgent采用FastAPI、SQLAlchemy和React。方案2将AI作为测试助手，检查传统接口，而非评价被测AI模型。主要对象为bp_record schema、API、service及UTCDateTime存储类型。测试不调用OCR或模型服务。</w:t>
      </w:r>
    </w:p>
    <w:p>
      <w:pPr>
        <w:pStyle w:val="1"/>
      </w:pPr>
      <w:r>
        <w:t>2 AI实践过程与成果</w:t>
      </w:r>
    </w:p>
    <w:p>
      <w:pPr>
        <w:pStyle w:val="1"/>
      </w:pPr>
      <w:r>
        <w:t>2.1 实践过程</w:t>
      </w:r>
    </w:p>
    <w:p>
      <w:r>
        <w:t>先阅读现有30条模块一功能测试及专项，排除已有必填null和时区等价性用例，再由AI生成011至020。边界取自schema，增加每次拒绝后原值或数量不变的断言，统计用例使用可手算样本。</w:t>
      </w:r>
    </w:p>
    <w:p>
      <w:r>
        <w:t>时间测试只冻结统计服务时钟，避免JWT随固定时间失效。首次个人10条通过；随后运行合并20条、认证复测8条和原回归39条，全部通过。未用skip或xfail隐去失败。</w:t>
      </w:r>
    </w:p>
    <w:p>
      <w:r>
        <w:t>原始用户指令和AI输出选段见AI实践记录.md。当前没有本人独立修改、审核或签名的证明，关键对话截图仍需真实会话补入。代码和报告修改由AI辅助，不计为人工修正。</w:t>
      </w:r>
    </w:p>
    <w:p>
      <w:pPr>
        <w:pStyle w:val="1"/>
      </w:pPr>
      <w:r>
        <w:t>2.2 新增测试成果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编号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覆盖点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M2-TC-011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数值下边界与外侧拒绝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M2-TC-012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数值上边界与外侧拒绝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M2-TC-013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非法心率更新保留原值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M2-TC-014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备注长度边界及更新原子性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M2-TC-015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图片引用长度边界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M2-TC-016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越权修改删除不影响所有者记录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M2-TC-017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统计隔离与空心率平均值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M2-TC-018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统计窗口下界微秒精度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M2-TC-019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闭区间过滤与分页排序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M2-TC-020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查询参数上下界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</w:tbl>
    <w:p>
      <w:r>
        <w:br w:type="page"/>
      </w:r>
    </w:p>
    <w:p>
      <w:pPr>
        <w:pStyle w:val="1"/>
      </w:pPr>
      <w:r>
        <w:t>2.3 测试环境</w:t>
      </w:r>
    </w:p>
    <w:p>
      <w:r>
        <w:t>Windows 10.0.26200、Python 3.10.11、pytest 8.3.3、FastAPI 0.115.0、SQLAlchemy 2.0.52；SQLite内存库与隔离签名密钥。使用TestClient，不需启动外部服务。执行基线99318c9加未提交工作区，源码SHA256记录在每组environment.json。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套件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结果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执行结果子目录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个人011至020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10通过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20260914_211410_600392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合并001至020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20通过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20260914_212935_082440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M2-D01相关复测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8通过，不新增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20260914_213050_720050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模块一相关回归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39通过，不新增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20260914_213054_067192</w:t>
            </w:r>
          </w:p>
        </w:tc>
      </w:tr>
    </w:tbl>
    <w:p>
      <w:r>
        <w:t>以上子目录均位于本文件同目录的执行结果。Starlette弃用提示及pytest-asyncio默认配置提示保留在原日志，未导致失败。8条认证复测是已有001至008的子集，39条是旧回归，均不能叠加到新增20条。</w:t>
      </w:r>
    </w:p>
    <w:p>
      <w:pPr>
        <w:pStyle w:val="1"/>
      </w:pPr>
      <w:r>
        <w:t>3 AI反思与批判</w:t>
      </w:r>
    </w:p>
    <w:p>
      <w:r>
        <w:t>AI可迅速生成边界，但可能重复已有场景或遗漏状态副作用。本次通过源码约束、旧用例去重、固定时钟和手算期望减少误判。017中空心率不参与分母，018检查下界前后1微秒，019联合检查过滤总数与分页顺序。</w:t>
      </w:r>
    </w:p>
    <w:p>
      <w:r>
        <w:t>通过这些断言不能证明整套系统没有缺陷。015仅测图片引用长度，不验证OCR识别；020仅测预测参数范围，不验证预测精度。未测PostgreSQL、并发、覆盖率、未来测量时间策略或真实模型调用，也不以接口范围充当临床阈值。</w:t>
      </w:r>
    </w:p>
    <w:p>
      <w:r>
        <w:t>复测沿用M2-D01编号，没有制造新缺陷。8条自动化通过不能冒充同学本人独立审查。本人仍需核对用例有效性，记录实际采纳或修改理由，再填写真实评审和关闭意见。</w:t>
      </w:r>
    </w:p>
    <w:p>
      <w:pPr>
        <w:pStyle w:val="1"/>
      </w:pPr>
      <w:r>
        <w:t>6 小组成员贡献度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成员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计划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实际材料范围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陆京超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50%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001至010、M2-D01修复及先前个人材料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袁立沛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50%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011至020、缺陷自动化复测、合并Excel报告PPT及录屏脚本</w:t>
            </w:r>
          </w:p>
        </w:tc>
      </w:tr>
    </w:tbl>
    <w:p>
      <w:r>
        <w:t>本部分新增测试源码178行（含空行、注释），新增测试10条，新发现缺陷0项，复测既有缺陷1项。本轮业务修改0行。AI辅助量不等于学生原创量，50%是计划分工，实际贡献需两人据实确认。</w:t>
      </w:r>
    </w:p>
    <w:p>
      <w:r>
        <w:t>参考附录1、2、4及实践作业要求v2026.pdf；本人复核、真实对话截图、签署、演示视频和课程平台提交仍待完成。运行方法见本目录README。</w:t>
      </w:r>
    </w:p>
    <w:sectPr w:rsidR="0098147B" w:rsidRPr="00963858">
      <w:footerReference w:type="even" r:id="rId9"/>
      <w:footerReference w:type="default" r:id="rId10"/>
      <w:headerReference w:type="default" r:id="rId13"/>
      <w:pgSz w:w="11906" w:h="16838"/>
      <w:pgMar w:top="1134" w:right="1247" w:bottom="1134" w:left="1247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7F335" w14:textId="77777777" w:rsidR="00834DB3" w:rsidRDefault="00834DB3">
      <w:r>
        <w:separator/>
      </w:r>
    </w:p>
  </w:endnote>
  <w:endnote w:type="continuationSeparator" w:id="0">
    <w:p w14:paraId="5E34FECB" w14:textId="77777777" w:rsidR="00834DB3" w:rsidRDefault="00834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10B0A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4FF158B2" w14:textId="77777777"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E968C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4A26E93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7619D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</w:p>
  <w:p w14:paraId="54A8A66A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7E6B4" w14:textId="77777777" w:rsidR="00834DB3" w:rsidRDefault="00834DB3">
      <w:r>
        <w:separator/>
      </w:r>
    </w:p>
  </w:footnote>
  <w:footnote w:type="continuationSeparator" w:id="0">
    <w:p w14:paraId="196BA8E6" w14:textId="77777777" w:rsidR="00834DB3" w:rsidRDefault="00834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BA8D3" w14:textId="77777777" w:rsidR="00E7756E" w:rsidRDefault="00E7756E" w:rsidP="00CE3674">
    <w:pPr>
      <w:pStyle w:val="a8"/>
    </w:pPr>
    <w:proofErr w:type="gramStart"/>
    <w:r>
      <w:rPr>
        <w:rFonts w:hint="eastAsia"/>
      </w:rPr>
      <w:t>武剑洁</w:t>
    </w:r>
    <w:proofErr w:type="gramEnd"/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D6346D5"/>
    <w:multiLevelType w:val="hybridMultilevel"/>
    <w:tmpl w:val="21BCA06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352694A"/>
    <w:multiLevelType w:val="multilevel"/>
    <w:tmpl w:val="F5DE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E1C3B"/>
    <w:multiLevelType w:val="hybridMultilevel"/>
    <w:tmpl w:val="8706806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7" w15:restartNumberingAfterBreak="0">
    <w:nsid w:val="3F352531"/>
    <w:multiLevelType w:val="multilevel"/>
    <w:tmpl w:val="0396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9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9"/>
  </w:num>
  <w:num w:numId="5">
    <w:abstractNumId w:val="8"/>
  </w:num>
  <w:num w:numId="6">
    <w:abstractNumId w:val="0"/>
  </w:num>
  <w:num w:numId="7">
    <w:abstractNumId w:val="5"/>
  </w:num>
  <w:num w:numId="8">
    <w:abstractNumId w:val="7"/>
  </w:num>
  <w:num w:numId="9">
    <w:abstractNumId w:val="3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430AB"/>
    <w:rsid w:val="00676B6A"/>
    <w:rsid w:val="007916C2"/>
    <w:rsid w:val="007D7EB2"/>
    <w:rsid w:val="00834DB3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223AA4"/>
  <w15:chartTrackingRefBased/>
  <w15:docId w15:val="{C74FD8F0-849B-4677-98EB-8399A404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 w:val="0"/>
      <w:pageBreakBefore w:val="0"/>
      <w:widowControl w:val="0"/>
      <w:spacing w:line="252" w:lineRule="auto" w:before="0" w:after="120"/>
      <w:jc w:val="both"/>
    </w:pPr>
    <w:rPr>
      <w:rFonts w:ascii="Microsoft YaHei" w:hAnsi="Microsoft YaHei" w:eastAsia="Microsoft YaHei"/>
      <w:color w:val="000000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pageBreakBefore w:val="0"/>
      <w:spacing w:before="0" w:after="120" w:line="252" w:lineRule="auto"/>
      <w:outlineLvl w:val="0"/>
    </w:pPr>
    <w:rPr>
      <w:rFonts w:ascii="Microsoft YaHei" w:hAnsi="Microsoft YaHei" w:eastAsia="Microsoft YaHei"/>
      <w:b/>
      <w:bCs/>
      <w:color w:val="000000"/>
      <w:kern w:val="44"/>
      <w:sz w:val="26"/>
      <w:szCs w:val="44"/>
    </w:rPr>
  </w:style>
  <w:style w:type="paragraph" w:styleId="2">
    <w:name w:val="heading 2"/>
    <w:basedOn w:val="a"/>
    <w:next w:val="a"/>
    <w:qFormat/>
    <w:pPr>
      <w:keepNext/>
      <w:keepLines/>
      <w:pageBreakBefore w:val="0"/>
      <w:spacing w:before="0" w:after="120" w:line="252" w:lineRule="auto"/>
      <w:outlineLvl w:val="1"/>
    </w:pPr>
    <w:rPr>
      <w:rFonts w:ascii="Microsoft YaHei" w:eastAsia="Microsoft YaHei" w:hAnsi="Microsoft YaHei"/>
      <w:b/>
      <w:bCs/>
      <w:color w:val="000000"/>
      <w:sz w:val="24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">
    <w:name w:val="Title"/>
    <w:pPr>
      <w:keepNext/>
      <w:pageBreakBefore w:val="0"/>
      <w:spacing w:line="252" w:lineRule="auto" w:before="0" w:after="120"/>
    </w:pPr>
    <w:rPr>
      <w:rFonts w:ascii="Microsoft YaHei" w:hAnsi="Microsoft YaHei" w:eastAsia="Microsoft YaHei"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78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测试分析报告（GB8567——88）</dc:title>
  <dc:subject/>
  <dc:creator>袁立沛 M202677260（AI辅助，待本人复核）</dc:creator>
  <cp:keywords/>
  <dc:description/>
  <cp:lastModifiedBy>yoga</cp:lastModifiedBy>
  <cp:revision>26</cp:revision>
  <dcterms:created xsi:type="dcterms:W3CDTF">2019-03-10T14:14:00Z</dcterms:created>
  <dcterms:modified xsi:type="dcterms:W3CDTF">2026-09-07T05:06:00Z</dcterms:modified>
</cp:coreProperties>
</file>