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HealthAgent 模块二缺陷报告</w:t>
      </w:r>
    </w:p>
    <w:p>
      <w:r>
        <w:t>M2-D01 JWT业务主体缺少校验｜2026年9月14日｜合并复测版1.1</w:t>
      </w:r>
    </w:p>
    <w:p>
      <w:pPr>
        <w:pStyle w:val="1"/>
      </w:pPr>
      <w:r>
        <w:t>1 引言</w:t>
      </w:r>
    </w:p>
    <w:p>
      <w:pPr>
        <w:pStyle w:val="1"/>
      </w:pPr>
      <w:r>
        <w:t>1.1 编写目的</w:t>
      </w:r>
    </w:p>
    <w:p>
      <w:r>
        <w:t>记录认证接口异常主体导致500的现象、复现、修复和验证，供开发人员、测试人员及课程评审核验。</w:t>
      </w:r>
    </w:p>
    <w:p>
      <w:pPr>
        <w:pStyle w:val="1"/>
      </w:pPr>
      <w:r>
        <w:t>1.2 背景</w:t>
      </w:r>
    </w:p>
    <w:p>
      <w:r>
        <w:t>被测软件为HealthAgent，采用FastAPI和SQLAlchemy。模块二选择用AI辅助测试传统接口，本缺陷来自新增JWT异常声明用例。责任范围归入陆京超部分，AI协助已披露。</w:t>
      </w:r>
    </w:p>
    <w:p>
      <w:pPr>
        <w:pStyle w:val="1"/>
      </w:pPr>
      <w:r>
        <w:t>1.3 定义与参考资料</w:t>
      </w:r>
    </w:p>
    <w:p>
      <w:r>
        <w:t>JWT为令牌；sub为主体声明，系统使用用户ID字符串；401表示无效凭据；500表示服务器异常。参考实践作业要求、附录2缺陷模板、源码及执行结果。</w:t>
      </w:r>
    </w:p>
    <w:p>
      <w:pPr>
        <w:pStyle w:val="1"/>
      </w:pPr>
      <w:r>
        <w:t>2 测试环境</w:t>
      </w:r>
    </w:p>
    <w:p>
      <w:r>
        <w:t>Intel Core i7-12650H，约16 GB内存；Windows 10.0.26200，Python 3.10.11，FastAPI 0.115.0，pytest 8.3.3，SQLite内存数据库。测试使用独立签名密钥，不使用正式凭据。</w:t>
      </w:r>
    </w:p>
    <w:p>
      <w:pPr>
        <w:pStyle w:val="1"/>
      </w:pPr>
      <w:r>
        <w:t>3 认证健壮性测试</w:t>
      </w:r>
    </w:p>
    <w:p>
      <w:pPr>
        <w:pStyle w:val="1"/>
      </w:pPr>
      <w:r>
        <w:t>3.1 被测软件与3.2测试策略</w:t>
      </w:r>
    </w:p>
    <w:p>
      <w:r>
        <w:t>初始业务基线99fb397；扩展修复前后执行基线为af1e1c4加工作区修改，最终修复提交3e2c7e5。采用无效等价类、声明缺失和整数边界法。测试前提是持有测试密钥，不能据此宣称无密钥认证绕过。</w:t>
      </w:r>
    </w:p>
    <w:p>
      <w:pPr>
        <w:pStyle w:val="1"/>
      </w:pPr>
      <w:r>
        <w:t>3.3 执行步骤</w:t>
      </w:r>
    </w:p>
    <w:p>
      <w:r>
        <w:t>1. 在隔离环境签名JWT，令牌未过期且类型正确。</w:t>
        <w:br/>
        <w:t>2. sub设为not-an-integer或9223372036854775808；刷新令牌另测省略sub。</w:t>
        <w:br/>
        <w:t>3. 访问令牌调用GET /api/v1/users/me；刷新令牌调用POST /api/v1/auth/refresh。</w:t>
        <w:br/>
        <w:t>4. 比较状态码并保存日志。预期401；修复前实际500，detail为internal server error。</w:t>
      </w:r>
    </w:p>
    <w:p>
      <w:r>
        <w:br w:type="page"/>
      </w:r>
    </w:p>
    <w:p>
      <w:pPr>
        <w:pStyle w:val="1"/>
      </w:pPr>
      <w:r>
        <w:t>3.4 缺陷表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测试人／时间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陆京超负责范围，AI辅助执行；2026-09-14；待本人复核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模块／编号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认证与刷新；M2-D01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用例编号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M2-TC-001、002、003、007、008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严重程度／优先级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建议中／中，待本人结合签发场景确认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状态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已修复，回归通过；待本人关闭确认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分配给／发送给</w:t>
            </w:r>
          </w:p>
        </w:tc>
        <w:tc>
          <w:tcPr>
            <w:tcW w:type="dxa" w:w="7143"/>
          </w:tcPr>
          <w:p>
            <w:pPr>
              <w:spacing w:after="60" w:line="240" w:lineRule="auto"/>
            </w:pPr>
            <w:r>
              <w:rPr>
                <w:rFonts w:ascii="Microsoft YaHei" w:hAnsi="Microsoft YaHei" w:eastAsia="Microsoft YaHei"/>
                <w:sz w:val="19"/>
              </w:rPr>
              <w:t>陆京超负责修复；袁立沛负责范围内已完成AI辅助自动化复测，待本人独立审核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缺陷标题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JWT业务主体缺少校验导致接口500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详细描述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非数字、缺失或超大sub未在数据库查询前验证；应拒绝凭据，实际触发服务器异常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根因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直接int(sub)或data['sub']；异常不在解码捕获中；超大整数也可能导致数据库绑定异常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解决方案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共用token_user_id，限定ASCII数字字符串及1至2^63-1范围；校验ValueError转401，数据库故障不捕获为凭据错误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解决者／日期／build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AI辅助修改，归入陆京超负责范围；2026-09-14；3e2c7e5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验证</w:t>
            </w:r>
          </w:p>
        </w:tc>
        <w:tc>
          <w:tcPr>
            <w:tcW w:type="dxa" w:w="7143"/>
          </w:tcPr>
          <w:p>
            <w:pPr>
              <w:spacing w:after="60" w:line="240" w:lineRule="auto"/>
            </w:pPr>
            <w:r>
              <w:rPr>
                <w:rFonts w:ascii="Microsoft YaHei" w:hAnsi="Microsoft YaHei" w:eastAsia="Microsoft YaHei"/>
                <w:sz w:val="19"/>
              </w:rPr>
              <w:t>修复后10条通过；本轮8条认证复测通过、合并20条通过、原回归39条通过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附件</w:t>
            </w:r>
          </w:p>
        </w:tc>
        <w:tc>
          <w:tcPr>
            <w:tcW w:type="dxa" w:w="7143"/>
          </w:tcPr>
          <w:p>
            <w:pPr>
              <w:spacing w:after="60" w:line="240" w:lineRule="auto"/>
            </w:pPr>
            <w:r>
              <w:rPr>
                <w:rFonts w:ascii="Microsoft YaHei" w:hAnsi="Microsoft YaHei" w:eastAsia="Microsoft YaHei"/>
                <w:sz w:val="19"/>
              </w:rPr>
              <w:t>第一批_陆京超/执行结果含修复前后证据；第一批_袁立沛/缺陷证据含本轮复测记录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相关缺陷／关闭者</w:t>
            </w:r>
          </w:p>
        </w:tc>
        <w:tc>
          <w:tcPr>
            <w:tcW w:type="dxa" w:w="7143"/>
          </w:tcPr>
          <w:p>
            <w:pPr>
              <w:keepNext w:val="0"/>
              <w:spacing w:line="240" w:lineRule="auto" w:before="0" w:after="6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同根因合并1项；关闭者待本人确认</w:t>
            </w:r>
          </w:p>
        </w:tc>
      </w:tr>
    </w:tbl>
    <w:p>
      <w:pPr>
        <w:pStyle w:val="1"/>
      </w:pPr>
      <w:r>
        <w:t>3.5 结果分析和结论</w:t>
      </w:r>
    </w:p>
    <w:p>
      <w:r>
        <w:t>5个失败用例不是5个独立缺陷。修复后异常主体返回401，正常认证流程回归通过；缺陷签署尚未完成。SQLite已测，PostgreSQL未测，未涉及撤销令牌或密码找回。本轮8条认证复测通过，证据见第一批_袁立沛/执行结果/20260914_213050_720050；其他证据详见合并测试报告，不覆盖任何修复前记录。</w:t>
      </w:r>
    </w:p>
    <w:sectPr w:rsidR="00E76530" w:rsidRPr="00B4450C">
      <w:headerReference w:type="default" r:id="rId12"/>
      <w:footerReference w:type="default" r:id="rId13"/>
      <w:pgSz w:w="11906" w:h="16838"/>
      <w:pgMar w:top="1134" w:right="1247" w:bottom="1134" w:left="124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11C57" w14:textId="77777777" w:rsidR="00953F49" w:rsidRDefault="00953F49" w:rsidP="00A9341F">
      <w:r>
        <w:separator/>
      </w:r>
    </w:p>
  </w:endnote>
  <w:endnote w:type="continuationSeparator" w:id="0">
    <w:p w14:paraId="357FB207" w14:textId="77777777" w:rsidR="00953F49" w:rsidRDefault="00953F49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FA150" w14:textId="77777777" w:rsidR="002D4369" w:rsidRDefault="002D4369">
    <w:pPr>
      <w:pStyle w:val="a9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26AC43DE" w14:textId="77777777" w:rsidR="002D4369" w:rsidRDefault="002D4369">
    <w:pPr>
      <w:pStyle w:val="a9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58B65" w14:textId="77777777" w:rsidR="00953F49" w:rsidRDefault="00953F49" w:rsidP="00A9341F">
      <w:r>
        <w:separator/>
      </w:r>
    </w:p>
  </w:footnote>
  <w:footnote w:type="continuationSeparator" w:id="0">
    <w:p w14:paraId="4F9E67C5" w14:textId="77777777" w:rsidR="00953F49" w:rsidRDefault="00953F49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24EB1" w14:textId="77777777" w:rsidR="00F84606" w:rsidRDefault="009116DE" w:rsidP="00F84606">
    <w:pPr>
      <w:pStyle w:val="a8"/>
      <w:rPr>
        <w:rFonts w:hint="eastAsia"/>
      </w:rPr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1"/>
  </w:num>
  <w:num w:numId="2">
    <w:abstractNumId w:val="28"/>
  </w:num>
  <w:num w:numId="3">
    <w:abstractNumId w:val="36"/>
  </w:num>
  <w:num w:numId="4">
    <w:abstractNumId w:val="21"/>
  </w:num>
  <w:num w:numId="5">
    <w:abstractNumId w:val="17"/>
  </w:num>
  <w:num w:numId="6">
    <w:abstractNumId w:val="42"/>
  </w:num>
  <w:num w:numId="7">
    <w:abstractNumId w:val="35"/>
  </w:num>
  <w:num w:numId="8">
    <w:abstractNumId w:val="25"/>
  </w:num>
  <w:num w:numId="9">
    <w:abstractNumId w:val="30"/>
  </w:num>
  <w:num w:numId="10">
    <w:abstractNumId w:val="14"/>
  </w:num>
  <w:num w:numId="11">
    <w:abstractNumId w:val="23"/>
  </w:num>
  <w:num w:numId="12">
    <w:abstractNumId w:val="32"/>
  </w:num>
  <w:num w:numId="13">
    <w:abstractNumId w:val="24"/>
  </w:num>
  <w:num w:numId="14">
    <w:abstractNumId w:val="40"/>
  </w:num>
  <w:num w:numId="15">
    <w:abstractNumId w:val="8"/>
  </w:num>
  <w:num w:numId="16">
    <w:abstractNumId w:val="5"/>
  </w:num>
  <w:num w:numId="17">
    <w:abstractNumId w:val="10"/>
  </w:num>
  <w:num w:numId="18">
    <w:abstractNumId w:val="6"/>
  </w:num>
  <w:num w:numId="19">
    <w:abstractNumId w:val="33"/>
  </w:num>
  <w:num w:numId="20">
    <w:abstractNumId w:val="27"/>
  </w:num>
  <w:num w:numId="21">
    <w:abstractNumId w:val="31"/>
  </w:num>
  <w:num w:numId="22">
    <w:abstractNumId w:val="9"/>
  </w:num>
  <w:num w:numId="23">
    <w:abstractNumId w:val="4"/>
  </w:num>
  <w:num w:numId="24">
    <w:abstractNumId w:val="22"/>
  </w:num>
  <w:num w:numId="25">
    <w:abstractNumId w:val="2"/>
  </w:num>
  <w:num w:numId="26">
    <w:abstractNumId w:val="0"/>
  </w:num>
  <w:num w:numId="27">
    <w:abstractNumId w:val="12"/>
  </w:num>
  <w:num w:numId="28">
    <w:abstractNumId w:val="11"/>
  </w:num>
  <w:num w:numId="29">
    <w:abstractNumId w:val="18"/>
  </w:num>
  <w:num w:numId="30">
    <w:abstractNumId w:val="38"/>
  </w:num>
  <w:num w:numId="31">
    <w:abstractNumId w:val="29"/>
  </w:num>
  <w:num w:numId="32">
    <w:abstractNumId w:val="20"/>
  </w:num>
  <w:num w:numId="33">
    <w:abstractNumId w:val="3"/>
  </w:num>
  <w:num w:numId="34">
    <w:abstractNumId w:val="13"/>
  </w:num>
  <w:num w:numId="35">
    <w:abstractNumId w:val="26"/>
  </w:num>
  <w:num w:numId="36">
    <w:abstractNumId w:val="1"/>
  </w:num>
  <w:num w:numId="37">
    <w:abstractNumId w:val="16"/>
  </w:num>
  <w:num w:numId="38">
    <w:abstractNumId w:val="39"/>
  </w:num>
  <w:num w:numId="39">
    <w:abstractNumId w:val="34"/>
  </w:num>
  <w:num w:numId="40">
    <w:abstractNumId w:val="15"/>
  </w:num>
  <w:num w:numId="41">
    <w:abstractNumId w:val="7"/>
  </w:num>
  <w:num w:numId="42">
    <w:abstractNumId w:val="19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37A6C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4:docId w14:val="16B2B653"/>
  <w15:chartTrackingRefBased/>
  <w15:docId w15:val="{B34BE80B-1FCE-41A3-84D8-DAF73A09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eepNext w:val="0"/>
      <w:keepLines w:val="0"/>
      <w:pageBreakBefore w:val="0"/>
      <w:widowControl w:val="0"/>
      <w:spacing w:after="120" w:before="0" w:line="252" w:lineRule="auto"/>
      <w:jc w:val="both"/>
    </w:pPr>
    <w:rPr>
      <w:rFonts w:ascii="Microsoft YaHei" w:hAnsi="Microsoft YaHei" w:eastAsia="Microsoft YaHei"/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 w:val="0"/>
      <w:pageBreakBefore w:val="0"/>
      <w:spacing w:before="0" w:after="120" w:line="252" w:lineRule="auto"/>
      <w:outlineLvl w:val="0"/>
    </w:pPr>
    <w:rPr>
      <w:rFonts w:ascii="Microsoft YaHei" w:hAnsi="Microsoft YaHei" w:eastAsia="Microsoft YaHei"/>
      <w:b/>
      <w:bCs/>
      <w:color w:val="000000"/>
      <w:kern w:val="44"/>
      <w:sz w:val="26"/>
      <w:szCs w:val="44"/>
    </w:rPr>
  </w:style>
  <w:style w:type="paragraph" w:styleId="2">
    <w:name w:val="heading 2"/>
    <w:basedOn w:val="a"/>
    <w:next w:val="a"/>
    <w:qFormat/>
    <w:pPr>
      <w:keepNext/>
      <w:keepLines w:val="0"/>
      <w:pageBreakBefore w:val="0"/>
      <w:spacing w:before="0" w:after="120" w:line="252" w:lineRule="auto"/>
      <w:outlineLvl w:val="1"/>
    </w:pPr>
    <w:rPr>
      <w:rFonts w:ascii="Microsoft YaHei" w:eastAsia="Microsoft YaHei" w:hAnsi="Microsoft YaHei"/>
      <w:b/>
      <w:bCs/>
      <w:color w:val="000000"/>
      <w:sz w:val="26"/>
      <w:szCs w:val="32"/>
    </w:rPr>
  </w:style>
  <w:style w:type="paragraph" w:styleId="3">
    <w:name w:val="heading 3"/>
    <w:basedOn w:val="a"/>
    <w:next w:val="a"/>
    <w:qFormat/>
    <w:pPr>
      <w:keepNext/>
      <w:keepLines w:val="0"/>
      <w:pageBreakBefore w:val="0"/>
      <w:spacing w:before="0" w:after="120" w:line="252" w:lineRule="auto"/>
      <w:outlineLvl w:val="2"/>
    </w:pPr>
    <w:rPr>
      <w:rFonts w:ascii="Microsoft YaHei" w:hAnsi="Microsoft YaHei" w:eastAsia="Microsoft YaHei"/>
      <w:b/>
      <w:bCs/>
      <w:color w:val="000000"/>
      <w:sz w:val="26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SimSun"/>
      <w:b/>
      <w:kern w:val="0"/>
      <w:sz w:val="24"/>
    </w:rPr>
  </w:style>
  <w:style w:type="paragraph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Char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8"/>
    <w:rsid w:val="00A9341F"/>
    <w:rPr>
      <w:kern w:val="2"/>
      <w:sz w:val="18"/>
      <w:szCs w:val="18"/>
    </w:rPr>
  </w:style>
  <w:style w:type="paragraph" w:styleId="a9">
    <w:name w:val="footer"/>
    <w:basedOn w:val="a"/>
    <w:link w:val="Char0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9"/>
    <w:uiPriority w:val="99"/>
    <w:rsid w:val="00A9341F"/>
    <w:rPr>
      <w:kern w:val="2"/>
      <w:sz w:val="18"/>
      <w:szCs w:val="18"/>
    </w:rPr>
  </w:style>
  <w:style w:type="paragraph" w:customStyle="1" w:styleId="Title">
    <w:name w:val="Title"/>
    <w:pPr>
      <w:keepNext/>
      <w:keepLines w:val="0"/>
      <w:pageBreakBefore w:val="0"/>
      <w:spacing w:after="120" w:before="0" w:line="252" w:lineRule="auto"/>
    </w:pPr>
    <w:rPr>
      <w:rFonts w:ascii="Microsoft YaHei" w:hAnsi="Microsoft YaHei" w:eastAsia="Microsoft YaHe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326</Words>
  <Characters>1864</Characters>
  <Application>Microsoft Office Word</Application>
  <DocSecurity>4</DocSecurity>
  <Lines>15</Lines>
  <Paragraphs>4</Paragraphs>
  <ScaleCrop>false</ScaleCrop>
  <Company>江苏智运</Company>
  <LinksUpToDate>false</LinksUpToDate>
  <CharactersWithSpaces>2186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课程小组（AI辅助整合，待本人审核）</dc:creator>
  <cp:keywords/>
  <dc:description/>
  <cp:lastModifiedBy>京超 陆</cp:lastModifiedBy>
  <cp:revision>2</cp:revision>
  <dcterms:created xsi:type="dcterms:W3CDTF">2026-09-14T12:11:00Z</dcterms:created>
  <dcterms:modified xsi:type="dcterms:W3CDTF">2026-09-14T12:11:00Z</dcterms:modified>
</cp:coreProperties>
</file>