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火瞳-财务模型与roi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财务模型与ROI</w:t>
      </w:r>
    </w:p>
    <w:p>
      <w:r>
        <w:pict>
          <v:rect style="width:0;height:1.5pt" o:hralign="center" o:hrstd="t" o:hr="t"/>
        </w:pict>
      </w:r>
    </w:p>
    <w:bookmarkStart w:id="12" w:name="一单店经济模型"/>
    <w:p>
      <w:pPr>
        <w:pStyle w:val="Heading2"/>
      </w:pPr>
      <w:r>
        <w:rPr>
          <w:rFonts w:hint="eastAsia"/>
        </w:rPr>
        <w:t xml:space="preserve">一、单店经济模型</w:t>
      </w:r>
    </w:p>
    <w:bookmarkStart w:id="9" w:name="客户侧火锅店老板视角"/>
    <w:p>
      <w:pPr>
        <w:pStyle w:val="Heading3"/>
      </w:pPr>
      <w:r>
        <w:rPr>
          <w:rFonts w:hint="eastAsia"/>
        </w:rPr>
        <w:t xml:space="preserve">客户侧（火锅店老板视角）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后厨巡检人工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1人</w:t>
            </w:r>
            <w:r>
              <w:t xml:space="preserve"> × </w:t>
            </w:r>
            <w:r>
              <w:rPr>
                <w:rFonts w:hint="eastAsia"/>
              </w:rPr>
              <w:t xml:space="preserve">¥6,000/月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AI替代，0人或兼职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月省</w:t>
            </w:r>
            <w:r>
              <w:rPr>
                <w:b/>
                <w:bCs/>
              </w:rPr>
              <w:t xml:space="preserve"> ¥6,000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食材浪费（月度）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¥15,000（15%损耗）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¥10,500（10%损耗）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月省</w:t>
            </w:r>
            <w:r>
              <w:rPr>
                <w:b/>
                <w:bCs/>
              </w:rPr>
              <w:t xml:space="preserve"> ¥4,500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食安风险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全程录像可追溯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每天2小时巡店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手机看Dashboard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时间解放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月度节省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¥10,500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年度节省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¥126,000</w:t>
            </w:r>
          </w:p>
        </w:tc>
      </w:tr>
    </w:tbl>
    <w:bookmarkEnd w:id="9"/>
    <w:bookmarkStart w:id="10" w:name="投入"/>
    <w:p>
      <w:pPr>
        <w:pStyle w:val="Heading3"/>
      </w:pPr>
      <w:r>
        <w:rPr>
          <w:rFonts w:hint="eastAsia"/>
        </w:rPr>
        <w:t xml:space="preserve">投入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硬件（Jetson+摄像头+安装）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¥18,800（一次性）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SaaS年费（基础版）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¥7,800/年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首年总投入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¥26,600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续费年投入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¥7,800/年</w:t>
            </w:r>
          </w:p>
        </w:tc>
      </w:tr>
    </w:tbl>
    <w:bookmarkEnd w:id="10"/>
    <w:bookmarkStart w:id="11" w:name="roi"/>
    <w:p>
      <w:pPr>
        <w:pStyle w:val="Heading3"/>
      </w:pPr>
      <w:r>
        <w:t xml:space="preserve">ROI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首年净节省</w:t>
            </w:r>
          </w:p>
        </w:tc>
        <w:tc>
          <w:tcPr/>
          <w:p>
            <w:pPr>
              <w:pStyle w:val="Compact"/>
            </w:pPr>
            <w:r>
              <w:t xml:space="preserve">¥126,000 - ¥26,600 =</w:t>
            </w:r>
            <w:r>
              <w:t xml:space="preserve"> </w:t>
            </w:r>
            <w:r>
              <w:rPr>
                <w:b/>
                <w:bCs/>
              </w:rPr>
              <w:t xml:space="preserve">¥99,400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回本周期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</w:t>
            </w:r>
            <w:r>
              <w:rPr>
                <w:rFonts w:hint="eastAsia"/>
                <w:b/>
                <w:bCs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续费年ROI</w:t>
            </w:r>
          </w:p>
        </w:tc>
        <w:tc>
          <w:tcPr/>
          <w:p>
            <w:pPr>
              <w:pStyle w:val="Compact"/>
            </w:pPr>
            <w:r>
              <w:t xml:space="preserve">¥126,000/¥7,800 =</w:t>
            </w:r>
            <w:r>
              <w:t xml:space="preserve"> </w:t>
            </w:r>
            <w:r>
              <w:rPr>
                <w:b/>
                <w:bCs/>
              </w:rPr>
              <w:t xml:space="preserve">1,515%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二规模化收益模型我们侧"/>
    <w:p>
      <w:pPr>
        <w:pStyle w:val="Heading2"/>
      </w:pPr>
      <w:r>
        <w:rPr>
          <w:rFonts w:hint="eastAsia"/>
        </w:rPr>
        <w:t xml:space="preserve">二、规模化收益模型（我们侧）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1家</w:t>
            </w:r>
          </w:p>
        </w:tc>
        <w:tc>
          <w:tcPr/>
          <w:p>
            <w:pPr>
              <w:pStyle w:val="Compact"/>
            </w:pPr>
            <w:r>
              <w:t xml:space="preserve">¥18,800</w:t>
            </w:r>
          </w:p>
        </w:tc>
        <w:tc>
          <w:tcPr/>
          <w:p>
            <w:pPr>
              <w:pStyle w:val="Compact"/>
            </w:pPr>
            <w:r>
              <w:t xml:space="preserve">¥7,800</w:t>
            </w:r>
          </w:p>
        </w:tc>
        <w:tc>
          <w:tcPr/>
          <w:p>
            <w:pPr>
              <w:pStyle w:val="Compact"/>
            </w:pPr>
            <w:r>
              <w:t xml:space="preserve">¥26,600</w:t>
            </w:r>
          </w:p>
        </w:tc>
        <w:tc>
          <w:tcPr/>
          <w:p>
            <w:pPr>
              <w:pStyle w:val="Compact"/>
            </w:pPr>
            <w:r>
              <w:t xml:space="preserve">¥5,500</w:t>
            </w:r>
          </w:p>
        </w:tc>
        <w:tc>
          <w:tcPr/>
          <w:p>
            <w:pPr>
              <w:pStyle w:val="Compact"/>
            </w:pPr>
            <w:r>
              <w:t xml:space="preserve">¥21,100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5家（盈亏平衡）</w:t>
            </w:r>
          </w:p>
        </w:tc>
        <w:tc>
          <w:tcPr/>
          <w:p>
            <w:pPr>
              <w:pStyle w:val="Compact"/>
            </w:pPr>
            <w:r>
              <w:t xml:space="preserve">¥94,000</w:t>
            </w:r>
          </w:p>
        </w:tc>
        <w:tc>
          <w:tcPr/>
          <w:p>
            <w:pPr>
              <w:pStyle w:val="Compact"/>
            </w:pPr>
            <w:r>
              <w:t xml:space="preserve">¥39,000</w:t>
            </w:r>
          </w:p>
        </w:tc>
        <w:tc>
          <w:tcPr/>
          <w:p>
            <w:pPr>
              <w:pStyle w:val="Compact"/>
            </w:pPr>
            <w:r>
              <w:t xml:space="preserve">¥133,000</w:t>
            </w:r>
          </w:p>
        </w:tc>
        <w:tc>
          <w:tcPr/>
          <w:p>
            <w:pPr>
              <w:pStyle w:val="Compact"/>
            </w:pPr>
            <w:r>
              <w:t xml:space="preserve">¥27,500</w:t>
            </w:r>
          </w:p>
        </w:tc>
        <w:tc>
          <w:tcPr/>
          <w:p>
            <w:pPr>
              <w:pStyle w:val="Compact"/>
            </w:pPr>
            <w:r>
              <w:t xml:space="preserve">¥105,500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10家</w:t>
            </w:r>
          </w:p>
        </w:tc>
        <w:tc>
          <w:tcPr/>
          <w:p>
            <w:pPr>
              <w:pStyle w:val="Compact"/>
            </w:pPr>
            <w:r>
              <w:t xml:space="preserve">¥188,000</w:t>
            </w:r>
          </w:p>
        </w:tc>
        <w:tc>
          <w:tcPr/>
          <w:p>
            <w:pPr>
              <w:pStyle w:val="Compact"/>
            </w:pPr>
            <w:r>
              <w:t xml:space="preserve">¥78,000</w:t>
            </w:r>
          </w:p>
        </w:tc>
        <w:tc>
          <w:tcPr/>
          <w:p>
            <w:pPr>
              <w:pStyle w:val="Compact"/>
            </w:pPr>
            <w:r>
              <w:t xml:space="preserve">¥266,000</w:t>
            </w:r>
          </w:p>
        </w:tc>
        <w:tc>
          <w:tcPr/>
          <w:p>
            <w:pPr>
              <w:pStyle w:val="Compact"/>
            </w:pPr>
            <w:r>
              <w:t xml:space="preserve">¥55,000</w:t>
            </w:r>
          </w:p>
        </w:tc>
        <w:tc>
          <w:tcPr/>
          <w:p>
            <w:pPr>
              <w:pStyle w:val="Compact"/>
            </w:pPr>
            <w:r>
              <w:t xml:space="preserve">¥211,000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20家</w:t>
            </w:r>
          </w:p>
        </w:tc>
        <w:tc>
          <w:tcPr/>
          <w:p>
            <w:pPr>
              <w:pStyle w:val="Compact"/>
            </w:pPr>
            <w:r>
              <w:t xml:space="preserve">¥376,000</w:t>
            </w:r>
          </w:p>
        </w:tc>
        <w:tc>
          <w:tcPr/>
          <w:p>
            <w:pPr>
              <w:pStyle w:val="Compact"/>
            </w:pPr>
            <w:r>
              <w:t xml:space="preserve">¥156,000</w:t>
            </w:r>
          </w:p>
        </w:tc>
        <w:tc>
          <w:tcPr/>
          <w:p>
            <w:pPr>
              <w:pStyle w:val="Compact"/>
            </w:pPr>
            <w:r>
              <w:t xml:space="preserve">¥532,000</w:t>
            </w:r>
          </w:p>
        </w:tc>
        <w:tc>
          <w:tcPr/>
          <w:p>
            <w:pPr>
              <w:pStyle w:val="Compact"/>
            </w:pPr>
            <w:r>
              <w:t xml:space="preserve">¥110,000</w:t>
            </w:r>
          </w:p>
        </w:tc>
        <w:tc>
          <w:tcPr/>
          <w:p>
            <w:pPr>
              <w:pStyle w:val="Compact"/>
            </w:pPr>
            <w:r>
              <w:t xml:space="preserve">¥422,000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50家</w:t>
            </w:r>
          </w:p>
        </w:tc>
        <w:tc>
          <w:tcPr/>
          <w:p>
            <w:pPr>
              <w:pStyle w:val="Compact"/>
            </w:pPr>
            <w:r>
              <w:t xml:space="preserve">¥940,000</w:t>
            </w:r>
          </w:p>
        </w:tc>
        <w:tc>
          <w:tcPr/>
          <w:p>
            <w:pPr>
              <w:pStyle w:val="Compact"/>
            </w:pPr>
            <w:r>
              <w:t xml:space="preserve">¥390,000</w:t>
            </w:r>
          </w:p>
        </w:tc>
        <w:tc>
          <w:tcPr/>
          <w:p>
            <w:pPr>
              <w:pStyle w:val="Compact"/>
            </w:pPr>
            <w:r>
              <w:t xml:space="preserve">¥1,330,000</w:t>
            </w:r>
          </w:p>
        </w:tc>
        <w:tc>
          <w:tcPr/>
          <w:p>
            <w:pPr>
              <w:pStyle w:val="Compact"/>
            </w:pPr>
            <w:r>
              <w:t xml:space="preserve">¥275,000</w:t>
            </w:r>
          </w:p>
        </w:tc>
        <w:tc>
          <w:tcPr/>
          <w:p>
            <w:pPr>
              <w:pStyle w:val="Compact"/>
            </w:pPr>
            <w:r>
              <w:t xml:space="preserve">¥1,055,000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100家</w:t>
            </w:r>
          </w:p>
        </w:tc>
        <w:tc>
          <w:tcPr/>
          <w:p>
            <w:pPr>
              <w:pStyle w:val="Compact"/>
            </w:pPr>
            <w:r>
              <w:t xml:space="preserve">¥1,880,000</w:t>
            </w:r>
          </w:p>
        </w:tc>
        <w:tc>
          <w:tcPr/>
          <w:p>
            <w:pPr>
              <w:pStyle w:val="Compact"/>
            </w:pPr>
            <w:r>
              <w:t xml:space="preserve">¥780,000</w:t>
            </w:r>
          </w:p>
        </w:tc>
        <w:tc>
          <w:tcPr/>
          <w:p>
            <w:pPr>
              <w:pStyle w:val="Compact"/>
            </w:pPr>
            <w:r>
              <w:t xml:space="preserve">¥2,660,000</w:t>
            </w:r>
          </w:p>
        </w:tc>
        <w:tc>
          <w:tcPr/>
          <w:p>
            <w:pPr>
              <w:pStyle w:val="Compact"/>
            </w:pPr>
            <w:r>
              <w:t xml:space="preserve">¥550,000</w:t>
            </w:r>
          </w:p>
        </w:tc>
        <w:tc>
          <w:tcPr/>
          <w:p>
            <w:pPr>
              <w:pStyle w:val="Compact"/>
            </w:pPr>
            <w:r>
              <w:t xml:space="preserve">¥2,110,000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三定价验证"/>
    <w:p>
      <w:pPr>
        <w:pStyle w:val="Heading2"/>
      </w:pPr>
      <w:r>
        <w:rPr>
          <w:rFonts w:hint="eastAsia"/>
        </w:rPr>
        <w:t xml:space="preserve">三、定价验证</w:t>
      </w:r>
    </w:p>
    <w:bookmarkStart w:id="14" w:name="竞品价格带"/>
    <w:p>
      <w:pPr>
        <w:pStyle w:val="Heading3"/>
      </w:pPr>
      <w:r>
        <w:rPr>
          <w:rFonts w:hint="eastAsia"/>
        </w:rPr>
        <w:t xml:space="preserve">竞品价格带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年费/店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传统安防（海康）</w:t>
            </w:r>
          </w:p>
        </w:tc>
        <w:tc>
          <w:tcPr/>
          <w:p>
            <w:pPr>
              <w:pStyle w:val="Compact"/>
            </w:pPr>
            <w:r>
              <w:t xml:space="preserve">¥3,000-8,000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餐饮SaaS（美团/客如云）</w:t>
            </w:r>
          </w:p>
        </w:tc>
        <w:tc>
          <w:tcPr/>
          <w:p>
            <w:pPr>
              <w:pStyle w:val="Compact"/>
            </w:pPr>
            <w:r>
              <w:t xml:space="preserve">¥2,000-8,000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AI明厨亮灶（商汤/旷视）</w:t>
            </w:r>
          </w:p>
        </w:tc>
        <w:tc>
          <w:tcPr/>
          <w:p>
            <w:pPr>
              <w:pStyle w:val="Compact"/>
            </w:pPr>
            <w:r>
              <w:t xml:space="preserve">¥10,000-50,000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¥7,800-15,800</w:t>
            </w:r>
          </w:p>
        </w:tc>
        <w:tc>
          <w:tcPr/>
          <w:p>
            <w:pPr>
              <w:pStyle w:val="Compact"/>
            </w:pPr>
            <w:r>
              <w:t xml:space="preserve">← </w:t>
            </w:r>
            <w:r>
              <w:rPr>
                <w:rFonts w:hint="eastAsia"/>
              </w:rPr>
              <w:t xml:space="preserve">中间带</w:t>
            </w:r>
          </w:p>
        </w:tc>
      </w:tr>
    </w:tbl>
    <w:bookmarkEnd w:id="14"/>
    <w:bookmarkStart w:id="15" w:name="价格敏感度测试"/>
    <w:p>
      <w:pPr>
        <w:pStyle w:val="Heading3"/>
      </w:pPr>
      <w:r>
        <w:rPr>
          <w:rFonts w:hint="eastAsia"/>
        </w:rPr>
        <w:t xml:space="preserve">价格敏感度测试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预期转化率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¥999/月（试点价）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前3-6个月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¥1,999/月</w:t>
            </w:r>
          </w:p>
        </w:tc>
        <w:tc>
          <w:tcPr/>
          <w:p>
            <w:pPr>
              <w:pStyle w:val="Compact"/>
            </w:pPr>
            <w:r>
              <w:t xml:space="preserve">50-60%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¥2,999/月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¥4,999+/月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四3年收入预测"/>
    <w:p>
      <w:pPr>
        <w:pStyle w:val="Heading2"/>
      </w:pPr>
      <w:r>
        <w:rPr>
          <w:rFonts w:hint="eastAsia"/>
        </w:rPr>
        <w:t xml:space="preserve">四、3年收入预测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5→20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¥26.6万→¥106万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¥8万→¥84万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验证期→增长期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20→50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¥106万→¥266万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¥84万→¥211万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区域扩张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50→100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¥266万→¥532万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¥211万→¥422万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全国推广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数据假设: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硬件毛利率25%，SaaS毛利率95%，一人公司运营成本¥1万/月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2026-07-15T18:09:01Z</dcterms:created>
  <dcterms:modified xsi:type="dcterms:W3CDTF">2026-07-15T18:09:01Z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