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i w:val="0"/>
          <w:sz w:val="44"/>
        </w:rPr>
        <w:t>工程管理硕士学位论文</w:t>
      </w:r>
    </w:p>
    <w:p/>
    <w:p>
      <w:pPr>
        <w:jc w:val="center"/>
      </w:pPr>
      <w:r>
        <w:rPr>
          <w:rFonts w:ascii="黑体" w:hAnsi="黑体" w:eastAsia="黑体"/>
          <w:b/>
          <w:i w:val="0"/>
          <w:sz w:val="36"/>
        </w:rPr>
        <w:t>选 题 报 告</w:t>
      </w:r>
    </w:p>
    <w:p/>
    <w:p/>
    <w:p>
      <w:pPr>
        <w:spacing w:after="200"/>
        <w:jc w:val="center"/>
      </w:pPr>
      <w:r>
        <w:rPr>
          <w:rFonts w:ascii="仿宋" w:hAnsi="仿宋" w:eastAsia="仿宋"/>
          <w:b w:val="0"/>
          <w:i w:val="0"/>
          <w:sz w:val="28"/>
        </w:rPr>
        <w:t>论文题目                                 吉利汽车供应商质量管理调研报告</w:t>
      </w:r>
    </w:p>
    <w:p>
      <w:pPr>
        <w:spacing w:after="200"/>
        <w:jc w:val="center"/>
      </w:pPr>
      <w:r>
        <w:rPr>
          <w:rFonts w:ascii="仿宋" w:hAnsi="仿宋" w:eastAsia="仿宋"/>
          <w:b w:val="0"/>
          <w:i w:val="0"/>
          <w:sz w:val="28"/>
        </w:rPr>
        <w:t>学    号                                 第一组</w:t>
      </w:r>
    </w:p>
    <w:p>
      <w:pPr>
        <w:spacing w:after="200"/>
        <w:jc w:val="center"/>
      </w:pPr>
      <w:r>
        <w:rPr>
          <w:rFonts w:ascii="仿宋" w:hAnsi="仿宋" w:eastAsia="仿宋"/>
          <w:b w:val="0"/>
          <w:i w:val="0"/>
          <w:sz w:val="28"/>
        </w:rPr>
        <w:t>姓    名                                 李超、张鸣、成书文 等</w:t>
      </w:r>
    </w:p>
    <w:p>
      <w:pPr>
        <w:spacing w:after="200"/>
        <w:jc w:val="center"/>
      </w:pPr>
      <w:r>
        <w:rPr>
          <w:rFonts w:ascii="仿宋" w:hAnsi="仿宋" w:eastAsia="仿宋"/>
          <w:b w:val="0"/>
          <w:i w:val="0"/>
          <w:sz w:val="28"/>
        </w:rPr>
        <w:t>指导老师                                 孙长敬</w:t>
      </w:r>
    </w:p>
    <w:p>
      <w:pPr>
        <w:spacing w:after="200"/>
        <w:jc w:val="center"/>
      </w:pPr>
      <w:r>
        <w:rPr>
          <w:rFonts w:ascii="仿宋" w:hAnsi="仿宋" w:eastAsia="仿宋"/>
          <w:b w:val="0"/>
          <w:i w:val="0"/>
          <w:sz w:val="28"/>
        </w:rPr>
        <w:t>学科(专业)                                 工程管理</w:t>
      </w:r>
    </w:p>
    <w:p>
      <w:pPr>
        <w:spacing w:after="200"/>
        <w:jc w:val="center"/>
      </w:pPr>
      <w:r>
        <w:rPr>
          <w:rFonts w:ascii="仿宋" w:hAnsi="仿宋" w:eastAsia="仿宋"/>
          <w:b w:val="0"/>
          <w:i w:val="0"/>
          <w:sz w:val="28"/>
        </w:rPr>
        <w:t>所在学院                                 工程师学院</w:t>
      </w:r>
    </w:p>
    <w:p/>
    <w:p/>
    <w:p>
      <w:pPr>
        <w:jc w:val="center"/>
      </w:pPr>
      <w:r>
        <w:rPr>
          <w:rFonts w:ascii="仿宋" w:hAnsi="仿宋" w:eastAsia="仿宋"/>
          <w:b w:val="0"/>
          <w:i w:val="0"/>
          <w:sz w:val="28"/>
        </w:rPr>
        <w:t>日   期  2026 年 4 月 26 日</w:t>
      </w:r>
    </w:p>
    <w:p>
      <w:r>
        <w:br w:type="page"/>
      </w:r>
    </w:p>
    <w:p>
      <w:pPr>
        <w:jc w:val="center"/>
      </w:pPr>
      <w:r>
        <w:rPr>
          <w:rFonts w:ascii="黑体" w:hAnsi="黑体" w:eastAsia="黑体"/>
          <w:b/>
          <w:i w:val="0"/>
          <w:sz w:val="32"/>
        </w:rPr>
        <w:t>目  录</w:t>
      </w:r>
    </w:p>
    <w:p/>
    <w:p>
      <w:pPr>
        <w:spacing w:line="360" w:lineRule="auto" w:after="80"/>
      </w:pPr>
      <w:r>
        <w:rPr>
          <w:rFonts w:ascii="仿宋" w:hAnsi="仿宋" w:eastAsia="仿宋"/>
          <w:b w:val="0"/>
          <w:i w:val="0"/>
          <w:sz w:val="24"/>
        </w:rPr>
        <w:t>1  调查背景</w:t>
      </w:r>
    </w:p>
    <w:p>
      <w:pPr>
        <w:spacing w:line="360" w:lineRule="auto" w:after="80"/>
      </w:pPr>
      <w:r>
        <w:rPr>
          <w:rFonts w:ascii="仿宋" w:hAnsi="仿宋" w:eastAsia="仿宋"/>
          <w:b w:val="0"/>
          <w:i w:val="0"/>
          <w:sz w:val="24"/>
        </w:rPr>
        <w:t>2  吉利汽车供应商质量管理体系与核心标准</w:t>
      </w:r>
    </w:p>
    <w:p>
      <w:pPr>
        <w:spacing w:line="360" w:lineRule="auto" w:after="80"/>
      </w:pPr>
      <w:r>
        <w:rPr>
          <w:rFonts w:ascii="仿宋" w:hAnsi="仿宋" w:eastAsia="仿宋"/>
          <w:b w:val="0"/>
          <w:i w:val="0"/>
          <w:sz w:val="24"/>
        </w:rPr>
        <w:t>3  吉利汽车供应商质量管理全流程与机制</w:t>
      </w:r>
    </w:p>
    <w:p>
      <w:pPr>
        <w:spacing w:line="360" w:lineRule="auto" w:after="80"/>
      </w:pPr>
      <w:r>
        <w:rPr>
          <w:rFonts w:ascii="仿宋" w:hAnsi="仿宋" w:eastAsia="仿宋"/>
          <w:b w:val="0"/>
          <w:i w:val="0"/>
          <w:sz w:val="24"/>
        </w:rPr>
        <w:t>4  吉利汽车供应商质量绩效与成效（2024-2025年）</w:t>
      </w:r>
    </w:p>
    <w:p>
      <w:pPr>
        <w:spacing w:line="360" w:lineRule="auto" w:after="80"/>
      </w:pPr>
      <w:r>
        <w:rPr>
          <w:rFonts w:ascii="仿宋" w:hAnsi="仿宋" w:eastAsia="仿宋"/>
          <w:b w:val="0"/>
          <w:i w:val="0"/>
          <w:sz w:val="24"/>
        </w:rPr>
        <w:t>5  现存问题与挑战</w:t>
      </w:r>
    </w:p>
    <w:p>
      <w:pPr>
        <w:spacing w:line="360" w:lineRule="auto" w:after="80"/>
      </w:pPr>
      <w:r>
        <w:rPr>
          <w:rFonts w:ascii="仿宋" w:hAnsi="仿宋" w:eastAsia="仿宋"/>
          <w:b w:val="0"/>
          <w:i w:val="0"/>
          <w:sz w:val="24"/>
        </w:rPr>
        <w:t>6  优化建议</w:t>
      </w:r>
    </w:p>
    <w:p>
      <w:pPr>
        <w:spacing w:line="360" w:lineRule="auto" w:after="80"/>
      </w:pPr>
      <w:r>
        <w:rPr>
          <w:rFonts w:ascii="仿宋" w:hAnsi="仿宋" w:eastAsia="仿宋"/>
          <w:b w:val="0"/>
          <w:i w:val="0"/>
          <w:sz w:val="24"/>
        </w:rPr>
        <w:t>7  调研结论</w:t>
      </w:r>
    </w:p>
    <w:p>
      <w:pPr>
        <w:spacing w:line="360" w:lineRule="auto" w:after="80"/>
      </w:pPr>
      <w:r>
        <w:rPr>
          <w:rFonts w:ascii="仿宋" w:hAnsi="仿宋" w:eastAsia="仿宋"/>
          <w:b w:val="0"/>
          <w:i w:val="0"/>
          <w:sz w:val="24"/>
        </w:rPr>
        <w:t>参考文献</w:t>
      </w:r>
    </w:p>
    <w:p>
      <w:pPr>
        <w:spacing w:line="360" w:lineRule="auto" w:after="80"/>
      </w:pPr>
      <w:r>
        <w:rPr>
          <w:rFonts w:ascii="仿宋" w:hAnsi="仿宋" w:eastAsia="仿宋"/>
          <w:b w:val="0"/>
          <w:i w:val="0"/>
          <w:sz w:val="24"/>
        </w:rPr>
        <w:t>附录：数据来源说明</w:t>
      </w:r>
    </w:p>
    <w:p>
      <w:r>
        <w:rPr>
          <w:rFonts w:ascii="仿宋" w:hAnsi="仿宋" w:eastAsia="仿宋"/>
          <w:b w:val="0"/>
          <w:i/>
          <w:sz w:val="18"/>
        </w:rPr>
        <w:br/>
        <w:t>（提示：在 Word 中选中目录 → 右键 → 更新域 → 更新整个目录，即可自动生成页码）</w:t>
      </w:r>
    </w:p>
    <w:p>
      <w:r>
        <w:br w:type="page"/>
      </w:r>
    </w:p>
    <w:p>
      <w:pPr>
        <w:spacing w:line="360" w:lineRule="auto" w:after="120"/>
        <w:ind w:firstLine="420"/>
      </w:pPr>
      <w:r>
        <w:rPr>
          <w:rFonts w:ascii="仿宋" w:hAnsi="仿宋" w:eastAsia="仿宋"/>
          <w:b w:val="0"/>
          <w:i w:val="0"/>
          <w:sz w:val="24"/>
        </w:rPr>
        <w:t>浙江大学工程师学院</w:t>
      </w:r>
    </w:p>
    <w:p>
      <w:pPr>
        <w:spacing w:line="360" w:lineRule="auto" w:after="120"/>
        <w:ind w:firstLine="420"/>
      </w:pPr>
      <w:r>
        <w:rPr>
          <w:rFonts w:ascii="仿宋" w:hAnsi="仿宋" w:eastAsia="仿宋"/>
          <w:b w:val="0"/>
          <w:i w:val="0"/>
          <w:sz w:val="24"/>
        </w:rPr>
        <w:t>质量管理课程调研报告</w:t>
      </w:r>
    </w:p>
    <w:p>
      <w:pPr>
        <w:spacing w:line="360" w:lineRule="auto" w:after="120"/>
        <w:ind w:firstLine="420"/>
      </w:pPr>
      <w:r>
        <w:rPr>
          <w:rFonts w:ascii="仿宋" w:hAnsi="仿宋" w:eastAsia="仿宋"/>
          <w:b w:val="0"/>
          <w:i w:val="0"/>
          <w:sz w:val="24"/>
        </w:rPr>
        <w:t>吉利汽车供应商质量管理调研报告</w:t>
      </w:r>
    </w:p>
    <w:p>
      <w:pPr>
        <w:spacing w:line="360" w:lineRule="auto" w:after="120"/>
        <w:ind w:firstLine="420"/>
      </w:pPr>
      <w:r>
        <w:rPr>
          <w:rFonts w:ascii="仿宋" w:hAnsi="仿宋" w:eastAsia="仿宋"/>
          <w:b w:val="0"/>
          <w:i w:val="0"/>
          <w:sz w:val="24"/>
        </w:rPr>
        <w:t>组 别 第一组</w:t>
      </w:r>
    </w:p>
    <w:p>
      <w:pPr>
        <w:spacing w:line="360" w:lineRule="auto" w:after="120"/>
        <w:ind w:firstLine="420"/>
      </w:pPr>
      <w:r>
        <w:rPr>
          <w:rFonts w:ascii="仿宋" w:hAnsi="仿宋" w:eastAsia="仿宋"/>
          <w:b w:val="0"/>
          <w:i w:val="0"/>
          <w:sz w:val="24"/>
        </w:rPr>
        <w:t>学生姓名 李超、张鸣、成书文</w:t>
      </w:r>
    </w:p>
    <w:p>
      <w:pPr>
        <w:spacing w:line="360" w:lineRule="auto" w:after="120"/>
        <w:ind w:firstLine="420"/>
      </w:pPr>
      <w:r>
        <w:rPr>
          <w:rFonts w:ascii="仿宋" w:hAnsi="仿宋" w:eastAsia="仿宋"/>
          <w:b w:val="0"/>
          <w:i w:val="0"/>
          <w:sz w:val="24"/>
        </w:rPr>
        <w:t>钱姗、王之玥、陈浩杰</w:t>
      </w:r>
    </w:p>
    <w:p>
      <w:pPr>
        <w:spacing w:line="360" w:lineRule="auto" w:after="120"/>
        <w:ind w:firstLine="420"/>
      </w:pPr>
      <w:r>
        <w:rPr>
          <w:rFonts w:ascii="仿宋" w:hAnsi="仿宋" w:eastAsia="仿宋"/>
          <w:b w:val="0"/>
          <w:i w:val="0"/>
          <w:sz w:val="24"/>
        </w:rPr>
        <w:t>钟宏强、袁满学、范熠</w:t>
      </w:r>
    </w:p>
    <w:p>
      <w:pPr>
        <w:spacing w:line="360" w:lineRule="auto" w:after="120"/>
        <w:ind w:firstLine="420"/>
      </w:pPr>
      <w:r>
        <w:rPr>
          <w:rFonts w:ascii="仿宋" w:hAnsi="仿宋" w:eastAsia="仿宋"/>
          <w:b w:val="0"/>
          <w:i w:val="0"/>
          <w:sz w:val="24"/>
        </w:rPr>
        <w:t>课程教师 孙长敬</w:t>
      </w:r>
    </w:p>
    <w:p>
      <w:pPr>
        <w:spacing w:line="360" w:lineRule="auto" w:after="120"/>
        <w:ind w:firstLine="420"/>
      </w:pPr>
      <w:r>
        <w:rPr>
          <w:rFonts w:ascii="仿宋" w:hAnsi="仿宋" w:eastAsia="仿宋"/>
          <w:b w:val="0"/>
          <w:i w:val="0"/>
          <w:sz w:val="24"/>
        </w:rPr>
        <w:t>2026 年 4 月</w:t>
      </w:r>
    </w:p>
    <w:p>
      <w:pPr>
        <w:spacing w:before="240" w:after="120" w:line="360" w:lineRule="auto"/>
      </w:pPr>
      <w:r>
        <w:rPr>
          <w:rFonts w:ascii="黑体" w:hAnsi="黑体" w:eastAsia="黑体"/>
          <w:b/>
          <w:i w:val="0"/>
          <w:sz w:val="28"/>
        </w:rPr>
        <w:t>绪论</w:t>
      </w:r>
    </w:p>
    <w:p>
      <w:pPr>
        <w:spacing w:line="360" w:lineRule="auto" w:after="120"/>
        <w:ind w:firstLine="420"/>
      </w:pPr>
      <w:r>
        <w:rPr>
          <w:rFonts w:ascii="仿宋" w:hAnsi="仿宋" w:eastAsia="仿宋"/>
          <w:b w:val="0"/>
          <w:i w:val="0"/>
          <w:sz w:val="24"/>
        </w:rPr>
        <w:t>随着全球汽车产业格局的深刻变革与中国汽车工业由“制造大国”向“质量</w:t>
      </w:r>
    </w:p>
    <w:p>
      <w:pPr>
        <w:spacing w:line="360" w:lineRule="auto" w:after="120"/>
        <w:ind w:firstLine="420"/>
      </w:pPr>
      <w:r>
        <w:rPr>
          <w:rFonts w:ascii="仿宋" w:hAnsi="仿宋" w:eastAsia="仿宋"/>
          <w:b w:val="0"/>
          <w:i w:val="0"/>
          <w:sz w:val="24"/>
        </w:rPr>
        <w:t>强国”的跨越式发展，汽车产品的质量已成为企业生存与发展的生命线。在汽车</w:t>
      </w:r>
    </w:p>
    <w:p>
      <w:pPr>
        <w:spacing w:line="360" w:lineRule="auto" w:after="120"/>
        <w:ind w:firstLine="420"/>
      </w:pPr>
      <w:r>
        <w:rPr>
          <w:rFonts w:ascii="仿宋" w:hAnsi="仿宋" w:eastAsia="仿宋"/>
          <w:b w:val="0"/>
          <w:i w:val="0"/>
          <w:sz w:val="24"/>
        </w:rPr>
        <w:t>供应链高度分工的今天，整车企业约 70%至 80%的价值创造与成本构成来源于零</w:t>
      </w:r>
    </w:p>
    <w:p>
      <w:pPr>
        <w:spacing w:line="360" w:lineRule="auto" w:after="120"/>
        <w:ind w:firstLine="420"/>
      </w:pPr>
      <w:r>
        <w:rPr>
          <w:rFonts w:ascii="仿宋" w:hAnsi="仿宋" w:eastAsia="仿宋"/>
          <w:b w:val="0"/>
          <w:i w:val="0"/>
          <w:sz w:val="24"/>
        </w:rPr>
        <w:t>部件采购，供应商的质量管理水平直接映射到整车的可靠性、安全性与品牌声誉</w:t>
      </w:r>
    </w:p>
    <w:p>
      <w:pPr>
        <w:spacing w:line="360" w:lineRule="auto" w:after="120"/>
        <w:ind w:firstLine="420"/>
      </w:pPr>
      <w:r>
        <w:rPr>
          <w:rFonts w:ascii="仿宋" w:hAnsi="仿宋" w:eastAsia="仿宋"/>
          <w:b w:val="0"/>
          <w:i w:val="0"/>
          <w:sz w:val="24"/>
        </w:rPr>
        <w:t>之上。因此，构建科学、高效、协同的供应商质量管理体系，不仅是保障产品一</w:t>
      </w:r>
    </w:p>
    <w:p>
      <w:pPr>
        <w:spacing w:line="360" w:lineRule="auto" w:after="120"/>
        <w:ind w:firstLine="420"/>
      </w:pPr>
      <w:r>
        <w:rPr>
          <w:rFonts w:ascii="仿宋" w:hAnsi="仿宋" w:eastAsia="仿宋"/>
          <w:b w:val="0"/>
          <w:i w:val="0"/>
          <w:sz w:val="24"/>
        </w:rPr>
        <w:t>致性的基石，更是车企在激烈的市场竞争中构建核心壁垒的关键战略。</w:t>
      </w:r>
    </w:p>
    <w:p>
      <w:pPr>
        <w:spacing w:line="360" w:lineRule="auto" w:after="120"/>
        <w:ind w:firstLine="420"/>
      </w:pPr>
      <w:r>
        <w:rPr>
          <w:rFonts w:ascii="仿宋" w:hAnsi="仿宋" w:eastAsia="仿宋"/>
          <w:b w:val="0"/>
          <w:i w:val="0"/>
          <w:sz w:val="24"/>
        </w:rPr>
        <w:t>吉利控股集团作为中国民营汽车企业的领军者，经过三十余年的发展，已构</w:t>
      </w:r>
    </w:p>
    <w:p>
      <w:pPr>
        <w:spacing w:line="360" w:lineRule="auto" w:after="120"/>
        <w:ind w:firstLine="420"/>
      </w:pPr>
      <w:r>
        <w:rPr>
          <w:rFonts w:ascii="仿宋" w:hAnsi="仿宋" w:eastAsia="仿宋"/>
          <w:b w:val="0"/>
          <w:i w:val="0"/>
          <w:sz w:val="24"/>
        </w:rPr>
        <w:t>建起涵盖吉利、领克、极氪、银河等多品牌矩阵的庞大业务版图，其供应商网络</w:t>
      </w:r>
    </w:p>
    <w:p>
      <w:pPr>
        <w:spacing w:line="360" w:lineRule="auto" w:after="120"/>
        <w:ind w:firstLine="420"/>
      </w:pPr>
      <w:r>
        <w:rPr>
          <w:rFonts w:ascii="仿宋" w:hAnsi="仿宋" w:eastAsia="仿宋"/>
          <w:b w:val="0"/>
          <w:i w:val="0"/>
          <w:sz w:val="24"/>
        </w:rPr>
        <w:t>遍布全球，涉及传统机械、电子电气、新能源三电、智能网联等多元领域。面对</w:t>
      </w:r>
    </w:p>
    <w:p>
      <w:pPr>
        <w:spacing w:line="360" w:lineRule="auto" w:after="120"/>
        <w:ind w:firstLine="420"/>
      </w:pPr>
      <w:r>
        <w:rPr>
          <w:rFonts w:ascii="仿宋" w:hAnsi="仿宋" w:eastAsia="仿宋"/>
          <w:b w:val="0"/>
          <w:i w:val="0"/>
          <w:sz w:val="24"/>
        </w:rPr>
        <w:t>如此复杂的供应链生态，吉利汽车在供应商质量管理领域进行了长期且深入的探</w:t>
      </w:r>
    </w:p>
    <w:p>
      <w:pPr>
        <w:spacing w:line="360" w:lineRule="auto" w:after="120"/>
        <w:ind w:firstLine="420"/>
      </w:pPr>
      <w:r>
        <w:rPr>
          <w:rFonts w:ascii="仿宋" w:hAnsi="仿宋" w:eastAsia="仿宋"/>
          <w:b w:val="0"/>
          <w:i w:val="0"/>
          <w:sz w:val="24"/>
        </w:rPr>
        <w:t>索，形成了一套兼具国际标准接轨性与企业特色实践性的管理体系。</w:t>
      </w:r>
    </w:p>
    <w:p>
      <w:pPr>
        <w:spacing w:line="360" w:lineRule="auto" w:after="120"/>
        <w:ind w:firstLine="420"/>
      </w:pPr>
      <w:r>
        <w:rPr>
          <w:rFonts w:ascii="仿宋" w:hAnsi="仿宋" w:eastAsia="仿宋"/>
          <w:b w:val="0"/>
          <w:i w:val="0"/>
          <w:sz w:val="24"/>
        </w:rPr>
        <w:t>本调研报告旨在通过对吉利汽车供应商质量管理的系统性研究，梳理其管理</w:t>
      </w:r>
    </w:p>
    <w:p>
      <w:pPr>
        <w:spacing w:line="360" w:lineRule="auto" w:after="120"/>
        <w:ind w:firstLine="420"/>
      </w:pPr>
      <w:r>
        <w:rPr>
          <w:rFonts w:ascii="仿宋" w:hAnsi="仿宋" w:eastAsia="仿宋"/>
          <w:b w:val="0"/>
          <w:i w:val="0"/>
          <w:sz w:val="24"/>
        </w:rPr>
        <w:t>体系框架、核心管控标准、全生命周期流程及数字化工具应用现状。报告将结合</w:t>
      </w:r>
    </w:p>
    <w:p>
      <w:pPr>
        <w:spacing w:line="360" w:lineRule="auto" w:after="120"/>
        <w:ind w:firstLine="420"/>
      </w:pPr>
      <w:r>
        <w:rPr>
          <w:rFonts w:ascii="仿宋" w:hAnsi="仿宋" w:eastAsia="仿宋"/>
          <w:b w:val="0"/>
          <w:i w:val="0"/>
          <w:sz w:val="24"/>
        </w:rPr>
        <w:t>2024至2025年的最新绩效数据与行业公开信息，客观分析吉利在该领域的优势</w:t>
      </w:r>
    </w:p>
    <w:p>
      <w:pPr>
        <w:spacing w:line="360" w:lineRule="auto" w:after="120"/>
        <w:ind w:firstLine="420"/>
      </w:pPr>
      <w:r>
        <w:rPr>
          <w:rFonts w:ascii="仿宋" w:hAnsi="仿宋" w:eastAsia="仿宋"/>
          <w:b w:val="0"/>
          <w:i w:val="0"/>
          <w:sz w:val="24"/>
        </w:rPr>
        <w:t>成效与面临的现实挑战，并针对性地提出优化建议。</w:t>
      </w:r>
    </w:p>
    <w:p>
      <w:pPr>
        <w:spacing w:before="240" w:after="120" w:line="360" w:lineRule="auto"/>
      </w:pPr>
      <w:r>
        <w:rPr>
          <w:rFonts w:ascii="黑体" w:hAnsi="黑体" w:eastAsia="黑体"/>
          <w:b/>
          <w:i w:val="0"/>
          <w:sz w:val="28"/>
        </w:rPr>
        <w:t>目录</w:t>
      </w:r>
    </w:p>
    <w:p>
      <w:pPr>
        <w:spacing w:line="360" w:lineRule="auto" w:after="120"/>
        <w:ind w:firstLine="420"/>
      </w:pPr>
      <w:r>
        <w:rPr>
          <w:rFonts w:ascii="仿宋" w:hAnsi="仿宋" w:eastAsia="仿宋"/>
          <w:b w:val="0"/>
          <w:i w:val="0"/>
          <w:sz w:val="24"/>
        </w:rPr>
        <w:t>&gt; 注：本 Markdown 版本不保留 PDF 抽取页码；转为 DOCX 后请使用自动目录更新页码。</w:t>
      </w:r>
    </w:p>
    <w:p>
      <w:pPr>
        <w:spacing w:line="360" w:lineRule="auto" w:after="120"/>
        <w:ind w:firstLine="420"/>
      </w:pPr>
      <w:r>
        <w:rPr>
          <w:rFonts w:ascii="仿宋" w:hAnsi="仿宋" w:eastAsia="仿宋"/>
          <w:b w:val="0"/>
          <w:i w:val="0"/>
          <w:sz w:val="24"/>
        </w:rPr>
        <w:t>- 1 调查背景</w:t>
      </w:r>
    </w:p>
    <w:p>
      <w:pPr>
        <w:spacing w:line="360" w:lineRule="auto" w:after="120"/>
        <w:ind w:firstLine="420"/>
      </w:pPr>
      <w:r>
        <w:rPr>
          <w:rFonts w:ascii="仿宋" w:hAnsi="仿宋" w:eastAsia="仿宋"/>
          <w:b w:val="0"/>
          <w:i w:val="0"/>
          <w:sz w:val="24"/>
        </w:rPr>
        <w:t>- 1.1 研究背景</w:t>
      </w:r>
    </w:p>
    <w:p>
      <w:pPr>
        <w:spacing w:line="360" w:lineRule="auto" w:after="120"/>
        <w:ind w:firstLine="420"/>
      </w:pPr>
      <w:r>
        <w:rPr>
          <w:rFonts w:ascii="仿宋" w:hAnsi="仿宋" w:eastAsia="仿宋"/>
          <w:b w:val="0"/>
          <w:i w:val="0"/>
          <w:sz w:val="24"/>
        </w:rPr>
        <w:t>- 1.2 研究目的</w:t>
      </w:r>
    </w:p>
    <w:p>
      <w:pPr>
        <w:spacing w:line="360" w:lineRule="auto" w:after="120"/>
        <w:ind w:firstLine="420"/>
      </w:pPr>
      <w:r>
        <w:rPr>
          <w:rFonts w:ascii="仿宋" w:hAnsi="仿宋" w:eastAsia="仿宋"/>
          <w:b w:val="0"/>
          <w:i w:val="0"/>
          <w:sz w:val="24"/>
        </w:rPr>
        <w:t>- 1.3 调研范围与对象</w:t>
      </w:r>
    </w:p>
    <w:p>
      <w:pPr>
        <w:spacing w:line="360" w:lineRule="auto" w:after="120"/>
        <w:ind w:firstLine="420"/>
      </w:pPr>
      <w:r>
        <w:rPr>
          <w:rFonts w:ascii="仿宋" w:hAnsi="仿宋" w:eastAsia="仿宋"/>
          <w:b w:val="0"/>
          <w:i w:val="0"/>
          <w:sz w:val="24"/>
        </w:rPr>
        <w:t>- 1.4 调研方法与数据来源</w:t>
      </w:r>
    </w:p>
    <w:p>
      <w:pPr>
        <w:spacing w:line="360" w:lineRule="auto" w:after="120"/>
        <w:ind w:firstLine="420"/>
      </w:pPr>
      <w:r>
        <w:rPr>
          <w:rFonts w:ascii="仿宋" w:hAnsi="仿宋" w:eastAsia="仿宋"/>
          <w:b w:val="0"/>
          <w:i w:val="0"/>
          <w:sz w:val="24"/>
        </w:rPr>
        <w:t>- 1.4.1 研究方法</w:t>
      </w:r>
    </w:p>
    <w:p>
      <w:pPr>
        <w:spacing w:line="360" w:lineRule="auto" w:after="120"/>
        <w:ind w:firstLine="420"/>
      </w:pPr>
      <w:r>
        <w:rPr>
          <w:rFonts w:ascii="仿宋" w:hAnsi="仿宋" w:eastAsia="仿宋"/>
          <w:b w:val="0"/>
          <w:i w:val="0"/>
          <w:sz w:val="24"/>
        </w:rPr>
        <w:t>- 2 吉利汽车供应商质量管理体系与核心标准</w:t>
      </w:r>
    </w:p>
    <w:p>
      <w:pPr>
        <w:spacing w:line="360" w:lineRule="auto" w:after="120"/>
        <w:ind w:firstLine="420"/>
      </w:pPr>
      <w:r>
        <w:rPr>
          <w:rFonts w:ascii="仿宋" w:hAnsi="仿宋" w:eastAsia="仿宋"/>
          <w:b w:val="0"/>
          <w:i w:val="0"/>
          <w:sz w:val="24"/>
        </w:rPr>
        <w:t>- 2.1 质量管理体系基础</w:t>
      </w:r>
    </w:p>
    <w:p>
      <w:pPr>
        <w:spacing w:line="360" w:lineRule="auto" w:after="120"/>
        <w:ind w:firstLine="420"/>
      </w:pPr>
      <w:r>
        <w:rPr>
          <w:rFonts w:ascii="仿宋" w:hAnsi="仿宋" w:eastAsia="仿宋"/>
          <w:b w:val="0"/>
          <w:i w:val="0"/>
          <w:sz w:val="24"/>
        </w:rPr>
        <w:t>- 2.2 核心管理原则</w:t>
      </w:r>
    </w:p>
    <w:p>
      <w:pPr>
        <w:spacing w:line="360" w:lineRule="auto" w:after="120"/>
        <w:ind w:firstLine="420"/>
      </w:pPr>
      <w:r>
        <w:rPr>
          <w:rFonts w:ascii="仿宋" w:hAnsi="仿宋" w:eastAsia="仿宋"/>
          <w:b w:val="0"/>
          <w:i w:val="0"/>
          <w:sz w:val="24"/>
        </w:rPr>
        <w:t>- 2.3 核心管控标准（2025版CSR）</w:t>
      </w:r>
    </w:p>
    <w:p>
      <w:pPr>
        <w:spacing w:line="360" w:lineRule="auto" w:after="120"/>
        <w:ind w:firstLine="420"/>
      </w:pPr>
      <w:r>
        <w:rPr>
          <w:rFonts w:ascii="仿宋" w:hAnsi="仿宋" w:eastAsia="仿宋"/>
          <w:b w:val="0"/>
          <w:i w:val="0"/>
          <w:sz w:val="24"/>
        </w:rPr>
        <w:t>- 2.3.1 供应商准入强制标准</w:t>
      </w:r>
    </w:p>
    <w:p>
      <w:pPr>
        <w:spacing w:line="360" w:lineRule="auto" w:after="120"/>
        <w:ind w:firstLine="420"/>
      </w:pPr>
      <w:r>
        <w:rPr>
          <w:rFonts w:ascii="仿宋" w:hAnsi="仿宋" w:eastAsia="仿宋"/>
          <w:b w:val="0"/>
          <w:i w:val="0"/>
          <w:sz w:val="24"/>
        </w:rPr>
        <w:t>- 2.3.2 质量过程管控标准</w:t>
      </w:r>
    </w:p>
    <w:p>
      <w:pPr>
        <w:spacing w:line="360" w:lineRule="auto" w:after="120"/>
        <w:ind w:firstLine="420"/>
      </w:pPr>
      <w:r>
        <w:rPr>
          <w:rFonts w:ascii="仿宋" w:hAnsi="仿宋" w:eastAsia="仿宋"/>
          <w:b w:val="0"/>
          <w:i w:val="0"/>
          <w:sz w:val="24"/>
        </w:rPr>
        <w:t>- 2.3.3 质量绩效评价标准</w:t>
      </w:r>
    </w:p>
    <w:p>
      <w:pPr>
        <w:spacing w:line="360" w:lineRule="auto" w:after="120"/>
        <w:ind w:firstLine="420"/>
      </w:pPr>
      <w:r>
        <w:rPr>
          <w:rFonts w:ascii="仿宋" w:hAnsi="仿宋" w:eastAsia="仿宋"/>
          <w:b w:val="0"/>
          <w:i w:val="0"/>
          <w:sz w:val="24"/>
        </w:rPr>
        <w:t>- 3 吉利汽车供应商质量管理全流程与机制</w:t>
      </w:r>
    </w:p>
    <w:p>
      <w:pPr>
        <w:spacing w:line="360" w:lineRule="auto" w:after="120"/>
        <w:ind w:firstLine="420"/>
      </w:pPr>
      <w:r>
        <w:rPr>
          <w:rFonts w:ascii="仿宋" w:hAnsi="仿宋" w:eastAsia="仿宋"/>
          <w:b w:val="0"/>
          <w:i w:val="0"/>
          <w:sz w:val="24"/>
        </w:rPr>
        <w:t>- 3.1 供应商准入管理：三方联合评审，严进严出</w:t>
      </w:r>
    </w:p>
    <w:p>
      <w:pPr>
        <w:spacing w:line="360" w:lineRule="auto" w:after="120"/>
        <w:ind w:firstLine="420"/>
      </w:pPr>
      <w:r>
        <w:rPr>
          <w:rFonts w:ascii="仿宋" w:hAnsi="仿宋" w:eastAsia="仿宋"/>
          <w:b w:val="0"/>
          <w:i w:val="0"/>
          <w:sz w:val="24"/>
        </w:rPr>
        <w:t>- 3.2 供应商分级管理：金字塔动态评级，差异化管控</w:t>
      </w:r>
    </w:p>
    <w:p>
      <w:pPr>
        <w:spacing w:line="360" w:lineRule="auto" w:after="120"/>
        <w:ind w:firstLine="420"/>
      </w:pPr>
      <w:r>
        <w:rPr>
          <w:rFonts w:ascii="仿宋" w:hAnsi="仿宋" w:eastAsia="仿宋"/>
          <w:b w:val="0"/>
          <w:i w:val="0"/>
          <w:sz w:val="24"/>
        </w:rPr>
        <w:t>- 3.3 过程质量管控：全链条监控，快速闭环</w:t>
      </w:r>
    </w:p>
    <w:p>
      <w:pPr>
        <w:spacing w:line="360" w:lineRule="auto" w:after="120"/>
        <w:ind w:firstLine="420"/>
      </w:pPr>
      <w:r>
        <w:rPr>
          <w:rFonts w:ascii="仿宋" w:hAnsi="仿宋" w:eastAsia="仿宋"/>
          <w:b w:val="0"/>
          <w:i w:val="0"/>
          <w:sz w:val="24"/>
        </w:rPr>
        <w:t>- 3.3.1 研发阶段协同</w:t>
      </w:r>
    </w:p>
    <w:p>
      <w:pPr>
        <w:spacing w:line="360" w:lineRule="auto" w:after="120"/>
        <w:ind w:firstLine="420"/>
      </w:pPr>
      <w:r>
        <w:rPr>
          <w:rFonts w:ascii="仿宋" w:hAnsi="仿宋" w:eastAsia="仿宋"/>
          <w:b w:val="0"/>
          <w:i w:val="0"/>
          <w:sz w:val="24"/>
        </w:rPr>
        <w:t>- 3.3.2 量产阶段管控</w:t>
      </w:r>
    </w:p>
    <w:p>
      <w:pPr>
        <w:spacing w:line="360" w:lineRule="auto" w:after="120"/>
        <w:ind w:firstLine="420"/>
      </w:pPr>
      <w:r>
        <w:rPr>
          <w:rFonts w:ascii="仿宋" w:hAnsi="仿宋" w:eastAsia="仿宋"/>
          <w:b w:val="0"/>
          <w:i w:val="0"/>
          <w:sz w:val="24"/>
        </w:rPr>
        <w:t>- 3.3.3 售后质量追溯</w:t>
      </w:r>
    </w:p>
    <w:p>
      <w:pPr>
        <w:spacing w:line="360" w:lineRule="auto" w:after="120"/>
        <w:ind w:firstLine="420"/>
      </w:pPr>
      <w:r>
        <w:rPr>
          <w:rFonts w:ascii="仿宋" w:hAnsi="仿宋" w:eastAsia="仿宋"/>
          <w:b w:val="0"/>
          <w:i w:val="0"/>
          <w:sz w:val="24"/>
        </w:rPr>
        <w:t>- 3.4 质量改进与激励机制</w:t>
      </w:r>
    </w:p>
    <w:p>
      <w:pPr>
        <w:spacing w:line="360" w:lineRule="auto" w:after="120"/>
        <w:ind w:firstLine="420"/>
      </w:pPr>
      <w:r>
        <w:rPr>
          <w:rFonts w:ascii="仿宋" w:hAnsi="仿宋" w:eastAsia="仿宋"/>
          <w:b w:val="0"/>
          <w:i w:val="0"/>
          <w:sz w:val="24"/>
        </w:rPr>
        <w:t>- 3.5 数字化与绿色质量管控</w:t>
      </w:r>
    </w:p>
    <w:p>
      <w:pPr>
        <w:spacing w:line="360" w:lineRule="auto" w:after="120"/>
        <w:ind w:firstLine="420"/>
      </w:pPr>
      <w:r>
        <w:rPr>
          <w:rFonts w:ascii="仿宋" w:hAnsi="仿宋" w:eastAsia="仿宋"/>
          <w:b w:val="0"/>
          <w:i w:val="0"/>
          <w:sz w:val="24"/>
        </w:rPr>
        <w:t>- 4 吉利汽车供应商质量绩效与成效（2024-2025年）</w:t>
      </w:r>
    </w:p>
    <w:p>
      <w:pPr>
        <w:spacing w:line="360" w:lineRule="auto" w:after="120"/>
        <w:ind w:firstLine="420"/>
      </w:pPr>
      <w:r>
        <w:rPr>
          <w:rFonts w:ascii="仿宋" w:hAnsi="仿宋" w:eastAsia="仿宋"/>
          <w:b w:val="0"/>
          <w:i w:val="0"/>
          <w:sz w:val="24"/>
        </w:rPr>
        <w:t>- 4.1 供应商直接质量绩效指标</w:t>
      </w:r>
    </w:p>
    <w:p>
      <w:pPr>
        <w:spacing w:line="360" w:lineRule="auto" w:after="120"/>
        <w:ind w:firstLine="420"/>
      </w:pPr>
      <w:r>
        <w:rPr>
          <w:rFonts w:ascii="仿宋" w:hAnsi="仿宋" w:eastAsia="仿宋"/>
          <w:b w:val="0"/>
          <w:i w:val="0"/>
          <w:sz w:val="24"/>
        </w:rPr>
        <w:t>- 4.2 整车质量间接关联指标</w:t>
      </w:r>
    </w:p>
    <w:p>
      <w:pPr>
        <w:spacing w:line="360" w:lineRule="auto" w:after="120"/>
        <w:ind w:firstLine="420"/>
      </w:pPr>
      <w:r>
        <w:rPr>
          <w:rFonts w:ascii="仿宋" w:hAnsi="仿宋" w:eastAsia="仿宋"/>
          <w:b w:val="0"/>
          <w:i w:val="0"/>
          <w:sz w:val="24"/>
        </w:rPr>
        <w:t>- 4.3 企业经营与市场背景指标</w:t>
      </w:r>
    </w:p>
    <w:p>
      <w:pPr>
        <w:spacing w:line="360" w:lineRule="auto" w:after="120"/>
        <w:ind w:firstLine="420"/>
      </w:pPr>
      <w:r>
        <w:rPr>
          <w:rFonts w:ascii="仿宋" w:hAnsi="仿宋" w:eastAsia="仿宋"/>
          <w:b w:val="0"/>
          <w:i w:val="0"/>
          <w:sz w:val="24"/>
        </w:rPr>
        <w:t>- 4.4 小结</w:t>
      </w:r>
    </w:p>
    <w:p>
      <w:pPr>
        <w:spacing w:line="360" w:lineRule="auto" w:after="120"/>
        <w:ind w:firstLine="420"/>
      </w:pPr>
      <w:r>
        <w:rPr>
          <w:rFonts w:ascii="仿宋" w:hAnsi="仿宋" w:eastAsia="仿宋"/>
          <w:b w:val="0"/>
          <w:i w:val="0"/>
          <w:sz w:val="24"/>
        </w:rPr>
        <w:t>- 4.5 数据说明</w:t>
      </w:r>
    </w:p>
    <w:p>
      <w:pPr>
        <w:spacing w:line="360" w:lineRule="auto" w:after="120"/>
        <w:ind w:firstLine="420"/>
      </w:pPr>
      <w:r>
        <w:rPr>
          <w:rFonts w:ascii="仿宋" w:hAnsi="仿宋" w:eastAsia="仿宋"/>
          <w:b w:val="0"/>
          <w:i w:val="0"/>
          <w:sz w:val="24"/>
        </w:rPr>
        <w:t>- 5 现存问题与挑战</w:t>
      </w:r>
    </w:p>
    <w:p>
      <w:pPr>
        <w:spacing w:line="360" w:lineRule="auto" w:after="120"/>
        <w:ind w:firstLine="420"/>
      </w:pPr>
      <w:r>
        <w:rPr>
          <w:rFonts w:ascii="仿宋" w:hAnsi="仿宋" w:eastAsia="仿宋"/>
          <w:b w:val="0"/>
          <w:i w:val="0"/>
          <w:sz w:val="24"/>
        </w:rPr>
        <w:t>- 5.1 中小供应商质量管控薄弱</w:t>
      </w:r>
    </w:p>
    <w:p>
      <w:pPr>
        <w:spacing w:line="360" w:lineRule="auto" w:after="120"/>
        <w:ind w:firstLine="420"/>
      </w:pPr>
      <w:r>
        <w:rPr>
          <w:rFonts w:ascii="仿宋" w:hAnsi="仿宋" w:eastAsia="仿宋"/>
          <w:b w:val="0"/>
          <w:i w:val="0"/>
          <w:sz w:val="24"/>
        </w:rPr>
        <w:t>- 5.2 新能源零部件质量风险凸显</w:t>
      </w:r>
    </w:p>
    <w:p>
      <w:pPr>
        <w:spacing w:line="360" w:lineRule="auto" w:after="120"/>
        <w:ind w:firstLine="420"/>
      </w:pPr>
      <w:r>
        <w:rPr>
          <w:rFonts w:ascii="仿宋" w:hAnsi="仿宋" w:eastAsia="仿宋"/>
          <w:b w:val="0"/>
          <w:i w:val="0"/>
          <w:sz w:val="24"/>
        </w:rPr>
        <w:t>- 5.3 质量改进协同效率待提升</w:t>
      </w:r>
    </w:p>
    <w:p>
      <w:pPr>
        <w:spacing w:line="360" w:lineRule="auto" w:after="120"/>
        <w:ind w:firstLine="420"/>
      </w:pPr>
      <w:r>
        <w:rPr>
          <w:rFonts w:ascii="仿宋" w:hAnsi="仿宋" w:eastAsia="仿宋"/>
          <w:b w:val="0"/>
          <w:i w:val="0"/>
          <w:sz w:val="24"/>
        </w:rPr>
        <w:t>- 5.4 可持续质量管控深度不足</w:t>
      </w:r>
    </w:p>
    <w:p>
      <w:pPr>
        <w:spacing w:line="360" w:lineRule="auto" w:after="120"/>
        <w:ind w:firstLine="420"/>
      </w:pPr>
      <w:r>
        <w:rPr>
          <w:rFonts w:ascii="仿宋" w:hAnsi="仿宋" w:eastAsia="仿宋"/>
          <w:b w:val="0"/>
          <w:i w:val="0"/>
          <w:sz w:val="24"/>
        </w:rPr>
        <w:t>- 6 优化建议</w:t>
      </w:r>
    </w:p>
    <w:p>
      <w:pPr>
        <w:spacing w:line="360" w:lineRule="auto" w:after="120"/>
        <w:ind w:firstLine="420"/>
      </w:pPr>
      <w:r>
        <w:rPr>
          <w:rFonts w:ascii="仿宋" w:hAnsi="仿宋" w:eastAsia="仿宋"/>
          <w:b w:val="0"/>
          <w:i w:val="0"/>
          <w:sz w:val="24"/>
        </w:rPr>
        <w:t>- 6.1 构建分级精准帮扶与数字化赋能体系</w:t>
      </w:r>
    </w:p>
    <w:p>
      <w:pPr>
        <w:spacing w:line="360" w:lineRule="auto" w:after="120"/>
        <w:ind w:firstLine="420"/>
      </w:pPr>
      <w:r>
        <w:rPr>
          <w:rFonts w:ascii="仿宋" w:hAnsi="仿宋" w:eastAsia="仿宋"/>
          <w:b w:val="0"/>
          <w:i w:val="0"/>
          <w:sz w:val="24"/>
        </w:rPr>
        <w:t>- 6.2 建立三电专属标准与全链条风险防控机制</w:t>
      </w:r>
    </w:p>
    <w:p>
      <w:pPr>
        <w:spacing w:line="360" w:lineRule="auto" w:after="120"/>
        <w:ind w:firstLine="420"/>
      </w:pPr>
      <w:r>
        <w:rPr>
          <w:rFonts w:ascii="仿宋" w:hAnsi="仿宋" w:eastAsia="仿宋"/>
          <w:b w:val="0"/>
          <w:i w:val="0"/>
          <w:sz w:val="24"/>
        </w:rPr>
        <w:t>- 6.3 强化整改闭环管理与数字化协同提速</w:t>
      </w:r>
    </w:p>
    <w:p>
      <w:pPr>
        <w:spacing w:line="360" w:lineRule="auto" w:after="120"/>
        <w:ind w:firstLine="420"/>
      </w:pPr>
      <w:r>
        <w:rPr>
          <w:rFonts w:ascii="仿宋" w:hAnsi="仿宋" w:eastAsia="仿宋"/>
          <w:b w:val="0"/>
          <w:i w:val="0"/>
          <w:sz w:val="24"/>
        </w:rPr>
        <w:t>- 6.4 推进绿色考核与次级供应商穿透式管控</w:t>
      </w:r>
    </w:p>
    <w:p>
      <w:pPr>
        <w:spacing w:line="360" w:lineRule="auto" w:after="120"/>
        <w:ind w:firstLine="420"/>
      </w:pPr>
      <w:r>
        <w:rPr>
          <w:rFonts w:ascii="仿宋" w:hAnsi="仿宋" w:eastAsia="仿宋"/>
          <w:b w:val="0"/>
          <w:i w:val="0"/>
          <w:sz w:val="24"/>
        </w:rPr>
        <w:t>- 7 调研结论</w:t>
      </w:r>
    </w:p>
    <w:p>
      <w:pPr>
        <w:spacing w:line="360" w:lineRule="auto" w:after="120"/>
        <w:ind w:firstLine="420"/>
      </w:pPr>
      <w:r>
        <w:rPr>
          <w:rFonts w:ascii="仿宋" w:hAnsi="仿宋" w:eastAsia="仿宋"/>
          <w:b w:val="0"/>
          <w:i w:val="0"/>
          <w:sz w:val="24"/>
        </w:rPr>
        <w:t>- 参考文献</w:t>
      </w:r>
    </w:p>
    <w:p>
      <w:pPr>
        <w:spacing w:line="360" w:lineRule="auto" w:after="120"/>
        <w:ind w:firstLine="420"/>
      </w:pPr>
      <w:r>
        <w:rPr>
          <w:rFonts w:ascii="仿宋" w:hAnsi="仿宋" w:eastAsia="仿宋"/>
          <w:b w:val="0"/>
          <w:i w:val="0"/>
          <w:sz w:val="24"/>
        </w:rPr>
        <w:t>- 附录：数据来源说明</w:t>
      </w:r>
    </w:p>
    <w:p>
      <w:pPr>
        <w:spacing w:before="360" w:after="240" w:line="360" w:lineRule="auto"/>
        <w:jc w:val="center"/>
      </w:pPr>
      <w:r>
        <w:rPr>
          <w:rFonts w:ascii="黑体" w:hAnsi="黑体" w:eastAsia="黑体"/>
          <w:b/>
          <w:i w:val="0"/>
          <w:sz w:val="32"/>
        </w:rPr>
        <w:t>1 调查背景</w:t>
      </w:r>
    </w:p>
    <w:p>
      <w:pPr>
        <w:spacing w:before="240" w:after="120" w:line="360" w:lineRule="auto"/>
      </w:pPr>
      <w:r>
        <w:rPr>
          <w:rFonts w:ascii="黑体" w:hAnsi="黑体" w:eastAsia="黑体"/>
          <w:b/>
          <w:i w:val="0"/>
          <w:sz w:val="28"/>
        </w:rPr>
        <w:t>1.1 研究背景</w:t>
      </w:r>
    </w:p>
    <w:p>
      <w:pPr>
        <w:spacing w:line="360" w:lineRule="auto" w:after="120"/>
        <w:ind w:firstLine="420"/>
      </w:pPr>
      <w:r>
        <w:rPr>
          <w:rFonts w:ascii="仿宋" w:hAnsi="仿宋" w:eastAsia="仿宋"/>
          <w:b w:val="0"/>
          <w:i w:val="0"/>
          <w:sz w:val="24"/>
        </w:rPr>
        <w:t>近年来，我国汽车产业展现出强大的韧性与增长潜力。以 2025 年为例，中</w:t>
      </w:r>
    </w:p>
    <w:p>
      <w:pPr>
        <w:spacing w:line="360" w:lineRule="auto" w:after="120"/>
        <w:ind w:firstLine="420"/>
      </w:pPr>
      <w:r>
        <w:rPr>
          <w:rFonts w:ascii="仿宋" w:hAnsi="仿宋" w:eastAsia="仿宋"/>
          <w:b w:val="0"/>
          <w:i w:val="0"/>
          <w:sz w:val="24"/>
        </w:rPr>
        <w:t>国汽车产销量分别达到3453万辆和3440万辆，连续多年位居全球第一，标志着</w:t>
      </w:r>
    </w:p>
    <w:p>
      <w:pPr>
        <w:spacing w:line="360" w:lineRule="auto" w:after="120"/>
        <w:ind w:firstLine="420"/>
      </w:pPr>
      <w:r>
        <w:rPr>
          <w:rFonts w:ascii="仿宋" w:hAnsi="仿宋" w:eastAsia="仿宋"/>
          <w:b w:val="0"/>
          <w:i w:val="0"/>
          <w:sz w:val="24"/>
        </w:rPr>
        <w:t>中国已成为世界汽车工业的核心产销阵地。然而，随着市场由增量竞争转向存量</w:t>
      </w:r>
    </w:p>
    <w:p>
      <w:pPr>
        <w:spacing w:line="360" w:lineRule="auto" w:after="120"/>
        <w:ind w:firstLine="420"/>
      </w:pPr>
      <w:r>
        <w:rPr>
          <w:rFonts w:ascii="仿宋" w:hAnsi="仿宋" w:eastAsia="仿宋"/>
          <w:b w:val="0"/>
          <w:i w:val="0"/>
          <w:sz w:val="24"/>
        </w:rPr>
        <w:t>博弈，消费者的质量意识与维权意识显著增强。据 J.D. Power 及中国汽车流通</w:t>
      </w:r>
    </w:p>
    <w:p>
      <w:pPr>
        <w:spacing w:line="360" w:lineRule="auto" w:after="120"/>
        <w:ind w:firstLine="420"/>
      </w:pPr>
      <w:r>
        <w:rPr>
          <w:rFonts w:ascii="仿宋" w:hAnsi="仿宋" w:eastAsia="仿宋"/>
          <w:b w:val="0"/>
          <w:i w:val="0"/>
          <w:sz w:val="24"/>
        </w:rPr>
        <w:t>协会的相关研究表明，产品质量与可靠性已超越价格因素，成为消费者购车决策</w:t>
      </w:r>
    </w:p>
    <w:p>
      <w:pPr>
        <w:spacing w:line="360" w:lineRule="auto" w:after="120"/>
        <w:ind w:firstLine="420"/>
      </w:pPr>
      <w:r>
        <w:rPr>
          <w:rFonts w:ascii="仿宋" w:hAnsi="仿宋" w:eastAsia="仿宋"/>
          <w:b w:val="0"/>
          <w:i w:val="0"/>
          <w:sz w:val="24"/>
        </w:rPr>
        <w:t>中的首要考量维度。汽车产品质量的优劣不仅关乎用户体验，更直接影响企业的</w:t>
      </w:r>
    </w:p>
    <w:p>
      <w:pPr>
        <w:spacing w:line="360" w:lineRule="auto" w:after="120"/>
        <w:ind w:firstLine="420"/>
      </w:pPr>
      <w:r>
        <w:rPr>
          <w:rFonts w:ascii="仿宋" w:hAnsi="仿宋" w:eastAsia="仿宋"/>
          <w:b w:val="0"/>
          <w:i w:val="0"/>
          <w:sz w:val="24"/>
        </w:rPr>
        <w:t>市场份额与财务表现，供应商质量管理体系作为整车质量的第一道防线，其战略</w:t>
      </w:r>
    </w:p>
    <w:p>
      <w:pPr>
        <w:spacing w:line="360" w:lineRule="auto" w:after="120"/>
        <w:ind w:firstLine="420"/>
      </w:pPr>
      <w:r>
        <w:rPr>
          <w:rFonts w:ascii="仿宋" w:hAnsi="仿宋" w:eastAsia="仿宋"/>
          <w:b w:val="0"/>
          <w:i w:val="0"/>
          <w:sz w:val="24"/>
        </w:rPr>
        <w:t>地位愈发凸显。</w:t>
      </w:r>
    </w:p>
    <w:p>
      <w:pPr>
        <w:spacing w:line="360" w:lineRule="auto" w:after="120"/>
        <w:ind w:firstLine="420"/>
      </w:pPr>
      <w:r>
        <w:rPr>
          <w:rFonts w:ascii="仿宋" w:hAnsi="仿宋" w:eastAsia="仿宋"/>
          <w:b w:val="0"/>
          <w:i w:val="0"/>
          <w:sz w:val="24"/>
        </w:rPr>
        <w:t>汽车制造是典型的离散型工业，产业链分工高度专业化。行业数据显示，一</w:t>
      </w:r>
    </w:p>
    <w:p>
      <w:pPr>
        <w:spacing w:line="360" w:lineRule="auto" w:after="120"/>
        <w:ind w:firstLine="420"/>
      </w:pPr>
      <w:r>
        <w:rPr>
          <w:rFonts w:ascii="仿宋" w:hAnsi="仿宋" w:eastAsia="仿宋"/>
          <w:b w:val="0"/>
          <w:i w:val="0"/>
          <w:sz w:val="24"/>
        </w:rPr>
        <w:t>辆整车中约 75%至 90%的零部件由外部供应商提供。研究表明，在整车的质量缺</w:t>
      </w:r>
    </w:p>
    <w:p>
      <w:pPr>
        <w:spacing w:line="360" w:lineRule="auto" w:after="120"/>
        <w:ind w:firstLine="420"/>
      </w:pPr>
      <w:r>
        <w:rPr>
          <w:rFonts w:ascii="仿宋" w:hAnsi="仿宋" w:eastAsia="仿宋"/>
          <w:b w:val="0"/>
          <w:i w:val="0"/>
          <w:sz w:val="24"/>
        </w:rPr>
        <w:t>陷归因分析中，约 40%至 60%的初始故障源可追溯至供应商端，涉及零部件设计</w:t>
      </w:r>
    </w:p>
    <w:p>
      <w:pPr>
        <w:spacing w:line="360" w:lineRule="auto" w:after="120"/>
        <w:ind w:firstLine="420"/>
      </w:pPr>
      <w:r>
        <w:rPr>
          <w:rFonts w:ascii="仿宋" w:hAnsi="仿宋" w:eastAsia="仿宋"/>
          <w:b w:val="0"/>
          <w:i w:val="0"/>
          <w:sz w:val="24"/>
        </w:rPr>
        <w:t>缺陷、原材料波动、制造过程失控或物流损伤等环节。因此，汽车生产企业对上</w:t>
      </w:r>
    </w:p>
    <w:p>
      <w:pPr>
        <w:spacing w:line="360" w:lineRule="auto" w:after="120"/>
        <w:ind w:firstLine="420"/>
      </w:pPr>
      <w:r>
        <w:rPr>
          <w:rFonts w:ascii="仿宋" w:hAnsi="仿宋" w:eastAsia="仿宋"/>
          <w:b w:val="0"/>
          <w:i w:val="0"/>
          <w:sz w:val="24"/>
        </w:rPr>
        <w:t>游零部件供应商的质量管控能力，已成为决定其整体竞争实力的关键核心要素。</w:t>
      </w:r>
    </w:p>
    <w:p>
      <w:pPr>
        <w:spacing w:line="360" w:lineRule="auto" w:after="120"/>
        <w:ind w:firstLine="420"/>
      </w:pPr>
      <w:r>
        <w:rPr>
          <w:rFonts w:ascii="仿宋" w:hAnsi="仿宋" w:eastAsia="仿宋"/>
          <w:b w:val="0"/>
          <w:i w:val="0"/>
          <w:sz w:val="24"/>
        </w:rPr>
        <w:t>吉利控股集团（Geely Holding Group）作为中国最大的民营汽车企业之一，</w:t>
      </w:r>
    </w:p>
    <w:p>
      <w:pPr>
        <w:spacing w:line="360" w:lineRule="auto" w:after="120"/>
        <w:ind w:firstLine="420"/>
      </w:pPr>
      <w:r>
        <w:rPr>
          <w:rFonts w:ascii="仿宋" w:hAnsi="仿宋" w:eastAsia="仿宋"/>
          <w:b w:val="0"/>
          <w:i w:val="0"/>
          <w:sz w:val="24"/>
        </w:rPr>
        <w:t>自 1986 年创立以来，已发展为一家集设计、研发、生产、销售于一体的全球化</w:t>
      </w:r>
    </w:p>
    <w:p>
      <w:pPr>
        <w:spacing w:line="360" w:lineRule="auto" w:after="120"/>
        <w:ind w:firstLine="420"/>
      </w:pPr>
      <w:r>
        <w:rPr>
          <w:rFonts w:ascii="仿宋" w:hAnsi="仿宋" w:eastAsia="仿宋"/>
          <w:b w:val="0"/>
          <w:i w:val="0"/>
          <w:sz w:val="24"/>
        </w:rPr>
        <w:t>汽车集团。企业总部位于浙江杭州，旗下拥有吉利汽车、领克、极氪、银河、雷</w:t>
      </w:r>
    </w:p>
    <w:p>
      <w:pPr>
        <w:spacing w:line="360" w:lineRule="auto" w:after="120"/>
        <w:ind w:firstLine="420"/>
      </w:pPr>
      <w:r>
        <w:rPr>
          <w:rFonts w:ascii="仿宋" w:hAnsi="仿宋" w:eastAsia="仿宋"/>
          <w:b w:val="0"/>
          <w:i w:val="0"/>
          <w:sz w:val="24"/>
        </w:rPr>
        <w:t>达等多个面向不同细分市场的品牌，并在浙江、湖南、四川、陕西、山西等地布</w:t>
      </w:r>
    </w:p>
    <w:p>
      <w:pPr>
        <w:spacing w:line="360" w:lineRule="auto" w:after="120"/>
        <w:ind w:firstLine="420"/>
      </w:pPr>
      <w:r>
        <w:rPr>
          <w:rFonts w:ascii="仿宋" w:hAnsi="仿宋" w:eastAsia="仿宋"/>
          <w:b w:val="0"/>
          <w:i w:val="0"/>
          <w:sz w:val="24"/>
        </w:rPr>
        <w:t>局了整车及动力总成制造基地。</w:t>
      </w:r>
    </w:p>
    <w:p>
      <w:pPr>
        <w:spacing w:line="360" w:lineRule="auto" w:after="120"/>
        <w:ind w:firstLine="420"/>
      </w:pPr>
      <w:r>
        <w:rPr>
          <w:rFonts w:ascii="仿宋" w:hAnsi="仿宋" w:eastAsia="仿宋"/>
          <w:b w:val="0"/>
          <w:i w:val="0"/>
          <w:sz w:val="24"/>
        </w:rPr>
        <w:t>在供应链构成方面，吉利汽车拥有极其庞大且复杂的供应商网络。截至目前，</w:t>
      </w:r>
    </w:p>
    <w:p>
      <w:pPr>
        <w:spacing w:line="360" w:lineRule="auto" w:after="120"/>
        <w:ind w:firstLine="420"/>
      </w:pPr>
      <w:r>
        <w:rPr>
          <w:rFonts w:ascii="仿宋" w:hAnsi="仿宋" w:eastAsia="仿宋"/>
          <w:b w:val="0"/>
          <w:i w:val="0"/>
          <w:sz w:val="24"/>
        </w:rPr>
        <w:t>吉利汽车体系内活跃的一级供应商超过1200家，涉及零部件种类达2000余种，</w:t>
      </w:r>
    </w:p>
    <w:p>
      <w:pPr>
        <w:spacing w:line="360" w:lineRule="auto" w:after="120"/>
        <w:ind w:firstLine="420"/>
      </w:pPr>
      <w:r>
        <w:rPr>
          <w:rFonts w:ascii="仿宋" w:hAnsi="仿宋" w:eastAsia="仿宋"/>
          <w:b w:val="0"/>
          <w:i w:val="0"/>
          <w:sz w:val="24"/>
        </w:rPr>
        <w:t>涵盖底盘、车身、内外饰、电子电器及新能源三电等全领域。如此规模化的采购</w:t>
      </w:r>
    </w:p>
    <w:p>
      <w:pPr>
        <w:spacing w:line="360" w:lineRule="auto" w:after="120"/>
        <w:ind w:firstLine="420"/>
      </w:pPr>
      <w:r>
        <w:rPr>
          <w:rFonts w:ascii="仿宋" w:hAnsi="仿宋" w:eastAsia="仿宋"/>
          <w:b w:val="0"/>
          <w:i w:val="0"/>
          <w:sz w:val="24"/>
        </w:rPr>
        <w:t>体系给质量一致性管理带来了巨大的挑战：一方面，不同基地、不同车型对供应</w:t>
      </w:r>
    </w:p>
    <w:p>
      <w:pPr>
        <w:spacing w:line="360" w:lineRule="auto" w:after="120"/>
        <w:ind w:firstLine="420"/>
      </w:pPr>
      <w:r>
        <w:rPr>
          <w:rFonts w:ascii="仿宋" w:hAnsi="仿宋" w:eastAsia="仿宋"/>
          <w:b w:val="0"/>
          <w:i w:val="0"/>
          <w:sz w:val="24"/>
        </w:rPr>
        <w:t>商的质量要求存在差异化执行标准；另一方面，随着汽车“新四化”（电动化、</w:t>
      </w:r>
    </w:p>
    <w:p>
      <w:pPr>
        <w:spacing w:line="360" w:lineRule="auto" w:after="120"/>
        <w:ind w:firstLine="420"/>
      </w:pPr>
      <w:r>
        <w:rPr>
          <w:rFonts w:ascii="仿宋" w:hAnsi="仿宋" w:eastAsia="仿宋"/>
          <w:b w:val="0"/>
          <w:i w:val="0"/>
          <w:sz w:val="24"/>
        </w:rPr>
        <w:t>智能化、网联化、共享化）的推进，大量跨界供应商（如软件算法、芯片、电池</w:t>
      </w:r>
    </w:p>
    <w:p>
      <w:pPr>
        <w:spacing w:line="360" w:lineRule="auto" w:after="120"/>
        <w:ind w:firstLine="420"/>
      </w:pPr>
      <w:r>
        <w:rPr>
          <w:rFonts w:ascii="仿宋" w:hAnsi="仿宋" w:eastAsia="仿宋"/>
          <w:b w:val="0"/>
          <w:i w:val="0"/>
          <w:sz w:val="24"/>
        </w:rPr>
        <w:t>化学）涌入供应链，传统的机械零部件质量管理模式面临失效风险。因此，深入</w:t>
      </w:r>
    </w:p>
    <w:p>
      <w:pPr>
        <w:spacing w:line="360" w:lineRule="auto" w:after="120"/>
        <w:ind w:firstLine="420"/>
      </w:pPr>
      <w:r>
        <w:rPr>
          <w:rFonts w:ascii="仿宋" w:hAnsi="仿宋" w:eastAsia="仿宋"/>
          <w:b w:val="0"/>
          <w:i w:val="0"/>
          <w:sz w:val="24"/>
        </w:rPr>
        <w:t>剖析吉利汽车的供应商质量管理模式，观察其如何通过体系化建设平衡“成本、</w:t>
      </w:r>
    </w:p>
    <w:p>
      <w:pPr>
        <w:spacing w:line="360" w:lineRule="auto" w:after="120"/>
        <w:ind w:firstLine="420"/>
      </w:pPr>
      <w:r>
        <w:rPr>
          <w:rFonts w:ascii="仿宋" w:hAnsi="仿宋" w:eastAsia="仿宋"/>
          <w:b w:val="0"/>
          <w:i w:val="0"/>
          <w:sz w:val="24"/>
        </w:rPr>
        <w:t>交付、质量”的不可能三角，对于理解中国自主品牌高端化进程中的质量基石具</w:t>
      </w:r>
    </w:p>
    <w:p>
      <w:pPr>
        <w:spacing w:line="360" w:lineRule="auto" w:after="120"/>
        <w:ind w:firstLine="420"/>
      </w:pPr>
      <w:r>
        <w:rPr>
          <w:rFonts w:ascii="仿宋" w:hAnsi="仿宋" w:eastAsia="仿宋"/>
          <w:b w:val="0"/>
          <w:i w:val="0"/>
          <w:sz w:val="24"/>
        </w:rPr>
        <w:t>有重要的标杆意义与现实参考价值。</w:t>
      </w:r>
    </w:p>
    <w:p>
      <w:pPr>
        <w:spacing w:before="240" w:after="120" w:line="360" w:lineRule="auto"/>
      </w:pPr>
      <w:r>
        <w:rPr>
          <w:rFonts w:ascii="黑体" w:hAnsi="黑体" w:eastAsia="黑体"/>
          <w:b/>
          <w:i w:val="0"/>
          <w:sz w:val="28"/>
        </w:rPr>
        <w:t>1.2 研究目的</w:t>
      </w:r>
    </w:p>
    <w:p>
      <w:pPr>
        <w:spacing w:line="360" w:lineRule="auto" w:after="120"/>
        <w:ind w:firstLine="420"/>
      </w:pPr>
      <w:r>
        <w:rPr>
          <w:rFonts w:ascii="仿宋" w:hAnsi="仿宋" w:eastAsia="仿宋"/>
          <w:b w:val="0"/>
          <w:i w:val="0"/>
          <w:sz w:val="24"/>
        </w:rPr>
        <w:t>基于上述背景，本调研报告旨在达成以下四个核心目标：</w:t>
      </w:r>
    </w:p>
    <w:p>
      <w:pPr>
        <w:spacing w:line="360" w:lineRule="auto" w:after="120"/>
        <w:ind w:firstLine="420"/>
      </w:pPr>
      <w:r>
        <w:rPr>
          <w:rFonts w:ascii="仿宋" w:hAnsi="仿宋" w:eastAsia="仿宋"/>
          <w:b w:val="0"/>
          <w:i w:val="0"/>
          <w:sz w:val="24"/>
        </w:rPr>
        <w:t>1. 系统化梳理体系架构：全面梳理吉利汽车供应商质量管理的顶层设计，包</w:t>
      </w:r>
    </w:p>
    <w:p>
      <w:pPr>
        <w:spacing w:line="360" w:lineRule="auto" w:after="120"/>
        <w:ind w:firstLine="420"/>
      </w:pPr>
      <w:r>
        <w:rPr>
          <w:rFonts w:ascii="仿宋" w:hAnsi="仿宋" w:eastAsia="仿宋"/>
          <w:b w:val="0"/>
          <w:i w:val="0"/>
          <w:sz w:val="24"/>
        </w:rPr>
        <w:t>括其依托的国际标准框架、2025版核心管控标准（CSR）以及全生命周期管控机</w:t>
      </w:r>
    </w:p>
    <w:p>
      <w:pPr>
        <w:spacing w:line="360" w:lineRule="auto" w:after="120"/>
        <w:ind w:firstLine="420"/>
      </w:pPr>
      <w:r>
        <w:rPr>
          <w:rFonts w:ascii="仿宋" w:hAnsi="仿宋" w:eastAsia="仿宋"/>
          <w:b w:val="0"/>
          <w:i w:val="0"/>
          <w:sz w:val="24"/>
        </w:rPr>
        <w:t>制。</w:t>
      </w:r>
    </w:p>
    <w:p>
      <w:pPr>
        <w:spacing w:line="360" w:lineRule="auto" w:after="120"/>
        <w:ind w:firstLine="420"/>
      </w:pPr>
      <w:r>
        <w:rPr>
          <w:rFonts w:ascii="仿宋" w:hAnsi="仿宋" w:eastAsia="仿宋"/>
          <w:b w:val="0"/>
          <w:i w:val="0"/>
          <w:sz w:val="24"/>
        </w:rPr>
        <w:t>2. 数据化挖掘绩效成效：聚焦2024至2025年度，挖掘吉利汽车在供应商来</w:t>
      </w:r>
    </w:p>
    <w:p>
      <w:pPr>
        <w:spacing w:line="360" w:lineRule="auto" w:after="120"/>
        <w:ind w:firstLine="420"/>
      </w:pPr>
      <w:r>
        <w:rPr>
          <w:rFonts w:ascii="仿宋" w:hAnsi="仿宋" w:eastAsia="仿宋"/>
          <w:b w:val="0"/>
          <w:i w:val="0"/>
          <w:sz w:val="24"/>
        </w:rPr>
        <w:t>料合格率、不良品率（PPM）、质量整改闭环率等方面的真实可查数据，客观评</w:t>
      </w:r>
    </w:p>
    <w:p>
      <w:pPr>
        <w:spacing w:line="360" w:lineRule="auto" w:after="120"/>
        <w:ind w:firstLine="420"/>
      </w:pPr>
      <w:r>
        <w:rPr>
          <w:rFonts w:ascii="仿宋" w:hAnsi="仿宋" w:eastAsia="仿宋"/>
          <w:b w:val="0"/>
          <w:i w:val="0"/>
          <w:sz w:val="24"/>
        </w:rPr>
        <w:t>价其质量管控的实际绩效。</w:t>
      </w:r>
    </w:p>
    <w:p>
      <w:pPr>
        <w:spacing w:line="360" w:lineRule="auto" w:after="120"/>
        <w:ind w:firstLine="420"/>
      </w:pPr>
      <w:r>
        <w:rPr>
          <w:rFonts w:ascii="仿宋" w:hAnsi="仿宋" w:eastAsia="仿宋"/>
          <w:b w:val="0"/>
          <w:i w:val="0"/>
          <w:sz w:val="24"/>
        </w:rPr>
        <w:t>3. 精准化识别问题短板：结合行业趋势与吉利自身发展现状，剖析当前在中</w:t>
      </w:r>
    </w:p>
    <w:p>
      <w:pPr>
        <w:spacing w:line="360" w:lineRule="auto" w:after="120"/>
        <w:ind w:firstLine="420"/>
      </w:pPr>
      <w:r>
        <w:rPr>
          <w:rFonts w:ascii="仿宋" w:hAnsi="仿宋" w:eastAsia="仿宋"/>
          <w:b w:val="0"/>
          <w:i w:val="0"/>
          <w:sz w:val="24"/>
        </w:rPr>
        <w:t>小供应商管控、新能源零部件风险及供应链纵深穿透管理方面存在的具体问题与</w:t>
      </w:r>
    </w:p>
    <w:p>
      <w:pPr>
        <w:spacing w:line="360" w:lineRule="auto" w:after="120"/>
        <w:ind w:firstLine="420"/>
      </w:pPr>
      <w:r>
        <w:rPr>
          <w:rFonts w:ascii="仿宋" w:hAnsi="仿宋" w:eastAsia="仿宋"/>
          <w:b w:val="0"/>
          <w:i w:val="0"/>
          <w:sz w:val="24"/>
        </w:rPr>
        <w:t>挑战。</w:t>
      </w:r>
    </w:p>
    <w:p>
      <w:pPr>
        <w:spacing w:line="360" w:lineRule="auto" w:after="120"/>
        <w:ind w:firstLine="420"/>
      </w:pPr>
      <w:r>
        <w:rPr>
          <w:rFonts w:ascii="仿宋" w:hAnsi="仿宋" w:eastAsia="仿宋"/>
          <w:b w:val="0"/>
          <w:i w:val="0"/>
          <w:sz w:val="24"/>
        </w:rPr>
        <w:t>4. 对策化提出优化路径：针对现存问题，结合行业最佳实践，为吉利汽车提</w:t>
      </w:r>
    </w:p>
    <w:p>
      <w:pPr>
        <w:spacing w:line="360" w:lineRule="auto" w:after="120"/>
        <w:ind w:firstLine="420"/>
      </w:pPr>
      <w:r>
        <w:rPr>
          <w:rFonts w:ascii="仿宋" w:hAnsi="仿宋" w:eastAsia="仿宋"/>
          <w:b w:val="0"/>
          <w:i w:val="0"/>
          <w:sz w:val="24"/>
        </w:rPr>
        <w:t>出具有可操作性的供应商质量管理优化建议，并为汽车行业同类企业提供管理实</w:t>
      </w:r>
    </w:p>
    <w:p>
      <w:pPr>
        <w:spacing w:line="360" w:lineRule="auto" w:after="120"/>
        <w:ind w:firstLine="420"/>
      </w:pPr>
      <w:r>
        <w:rPr>
          <w:rFonts w:ascii="仿宋" w:hAnsi="仿宋" w:eastAsia="仿宋"/>
          <w:b w:val="0"/>
          <w:i w:val="0"/>
          <w:sz w:val="24"/>
        </w:rPr>
        <w:t>践参考，完成课程调研报告的学术要求。</w:t>
      </w:r>
    </w:p>
    <w:p>
      <w:pPr>
        <w:spacing w:before="240" w:after="120" w:line="360" w:lineRule="auto"/>
      </w:pPr>
      <w:r>
        <w:rPr>
          <w:rFonts w:ascii="黑体" w:hAnsi="黑体" w:eastAsia="黑体"/>
          <w:b/>
          <w:i w:val="0"/>
          <w:sz w:val="28"/>
        </w:rPr>
        <w:t>1.3 调研范围与对象</w:t>
      </w:r>
    </w:p>
    <w:p>
      <w:pPr>
        <w:spacing w:line="360" w:lineRule="auto" w:after="120"/>
        <w:ind w:firstLine="420"/>
      </w:pPr>
      <w:r>
        <w:rPr>
          <w:rFonts w:ascii="仿宋" w:hAnsi="仿宋" w:eastAsia="仿宋"/>
          <w:b w:val="0"/>
          <w:i w:val="0"/>
          <w:sz w:val="24"/>
        </w:rPr>
        <w:t>1. 范围：限定于吉利控股集团旗下吉利、领克、银河、极氪等核心乘用车</w:t>
      </w:r>
    </w:p>
    <w:p>
      <w:pPr>
        <w:spacing w:line="360" w:lineRule="auto" w:after="120"/>
        <w:ind w:firstLine="420"/>
      </w:pPr>
      <w:r>
        <w:rPr>
          <w:rFonts w:ascii="仿宋" w:hAnsi="仿宋" w:eastAsia="仿宋"/>
          <w:b w:val="0"/>
          <w:i w:val="0"/>
          <w:sz w:val="24"/>
        </w:rPr>
        <w:t>品牌（鉴于沃尔沃汽车及极星品牌拥有相对独立且与吉利体系差异较大的全球供</w:t>
      </w:r>
    </w:p>
    <w:p>
      <w:pPr>
        <w:spacing w:line="360" w:lineRule="auto" w:after="120"/>
        <w:ind w:firstLine="420"/>
      </w:pPr>
      <w:r>
        <w:rPr>
          <w:rFonts w:ascii="仿宋" w:hAnsi="仿宋" w:eastAsia="仿宋"/>
          <w:b w:val="0"/>
          <w:i w:val="0"/>
          <w:sz w:val="24"/>
        </w:rPr>
        <w:t>应链质量体系，故不纳入本次重点调研范围）。</w:t>
      </w:r>
    </w:p>
    <w:p>
      <w:pPr>
        <w:spacing w:line="360" w:lineRule="auto" w:after="120"/>
        <w:ind w:firstLine="420"/>
      </w:pPr>
      <w:r>
        <w:rPr>
          <w:rFonts w:ascii="仿宋" w:hAnsi="仿宋" w:eastAsia="仿宋"/>
          <w:b w:val="0"/>
          <w:i w:val="0"/>
          <w:sz w:val="24"/>
        </w:rPr>
        <w:t>2. 对象：吉利汽车供应商准入标准、分级管理机制、质量管控流程、质量</w:t>
      </w:r>
    </w:p>
    <w:p>
      <w:pPr>
        <w:spacing w:line="360" w:lineRule="auto" w:after="120"/>
        <w:ind w:firstLine="420"/>
      </w:pPr>
      <w:r>
        <w:rPr>
          <w:rFonts w:ascii="仿宋" w:hAnsi="仿宋" w:eastAsia="仿宋"/>
          <w:b w:val="0"/>
          <w:i w:val="0"/>
          <w:sz w:val="24"/>
        </w:rPr>
        <w:t>绩效指标、数字化管控工具、绿色供应链质量举措等。</w:t>
      </w:r>
    </w:p>
    <w:p>
      <w:pPr>
        <w:spacing w:before="240" w:after="120" w:line="360" w:lineRule="auto"/>
      </w:pPr>
      <w:r>
        <w:rPr>
          <w:rFonts w:ascii="黑体" w:hAnsi="黑体" w:eastAsia="黑体"/>
          <w:b/>
          <w:i w:val="0"/>
          <w:sz w:val="28"/>
        </w:rPr>
        <w:t>1.4 调研方法与数据来源</w:t>
      </w:r>
    </w:p>
    <w:p>
      <w:pPr>
        <w:spacing w:before="120" w:after="60" w:line="360" w:lineRule="auto"/>
      </w:pPr>
      <w:r>
        <w:rPr>
          <w:rFonts w:ascii="黑体" w:hAnsi="黑体" w:eastAsia="黑体"/>
          <w:b/>
          <w:i w:val="0"/>
          <w:sz w:val="24"/>
        </w:rPr>
        <w:t>1.4.1 研究方法</w:t>
      </w:r>
    </w:p>
    <w:p>
      <w:pPr>
        <w:spacing w:line="360" w:lineRule="auto" w:after="120"/>
        <w:ind w:firstLine="420"/>
      </w:pPr>
      <w:r>
        <w:rPr>
          <w:rFonts w:ascii="仿宋" w:hAnsi="仿宋" w:eastAsia="仿宋"/>
          <w:b w:val="0"/>
          <w:i w:val="0"/>
          <w:sz w:val="24"/>
        </w:rPr>
        <w:t>文献研究法：深入研究吉利控股集团官方发布的《供应商质量管理手册（V1.0</w:t>
      </w:r>
    </w:p>
    <w:p>
      <w:pPr>
        <w:spacing w:line="360" w:lineRule="auto" w:after="120"/>
        <w:ind w:firstLine="420"/>
      </w:pPr>
      <w:r>
        <w:rPr>
          <w:rFonts w:ascii="仿宋" w:hAnsi="仿宋" w:eastAsia="仿宋"/>
          <w:b w:val="0"/>
          <w:i w:val="0"/>
          <w:sz w:val="24"/>
        </w:rPr>
        <w:t>版）》、《顾客特定要求（CSR，2025.6 版）》、2024-2025 年度 ESG 报告及中</w:t>
      </w:r>
    </w:p>
    <w:p>
      <w:pPr>
        <w:spacing w:line="360" w:lineRule="auto" w:after="120"/>
        <w:ind w:firstLine="420"/>
      </w:pPr>
      <w:r>
        <w:rPr>
          <w:rFonts w:ascii="仿宋" w:hAnsi="仿宋" w:eastAsia="仿宋"/>
          <w:b w:val="0"/>
          <w:i w:val="0"/>
          <w:sz w:val="24"/>
        </w:rPr>
        <w:t>期业绩公告；同时参考IATF 16949国际汽车工作组官方文件及要求。</w:t>
      </w:r>
    </w:p>
    <w:p>
      <w:pPr>
        <w:spacing w:line="360" w:lineRule="auto" w:after="120"/>
        <w:ind w:firstLine="420"/>
      </w:pPr>
      <w:r>
        <w:rPr>
          <w:rFonts w:ascii="仿宋" w:hAnsi="仿宋" w:eastAsia="仿宋"/>
          <w:b w:val="0"/>
          <w:i w:val="0"/>
          <w:sz w:val="24"/>
        </w:rPr>
        <w:t>数据分析法：对吉利汽车官方披露的供应商质量绩效数据进行定量统计与分</w:t>
      </w:r>
    </w:p>
    <w:p>
      <w:pPr>
        <w:spacing w:line="360" w:lineRule="auto" w:after="120"/>
        <w:ind w:firstLine="420"/>
      </w:pPr>
      <w:r>
        <w:rPr>
          <w:rFonts w:ascii="仿宋" w:hAnsi="仿宋" w:eastAsia="仿宋"/>
          <w:b w:val="0"/>
          <w:i w:val="0"/>
          <w:sz w:val="24"/>
        </w:rPr>
        <w:t>析，包括PPM趋势、合格率变化、整改效率等关键指标，以数据支撑结论。</w:t>
      </w:r>
    </w:p>
    <w:p>
      <w:pPr>
        <w:spacing w:line="360" w:lineRule="auto" w:after="120"/>
        <w:ind w:firstLine="420"/>
      </w:pPr>
      <w:r>
        <w:rPr>
          <w:rFonts w:ascii="仿宋" w:hAnsi="仿宋" w:eastAsia="仿宋"/>
          <w:b w:val="0"/>
          <w:i w:val="0"/>
          <w:sz w:val="24"/>
        </w:rPr>
        <w:t>案例分析法：选取典型的供应商质量改进案例及年度优秀供应商实践，定性</w:t>
      </w:r>
    </w:p>
    <w:p>
      <w:pPr>
        <w:spacing w:line="360" w:lineRule="auto" w:after="120"/>
        <w:ind w:firstLine="420"/>
      </w:pPr>
      <w:r>
        <w:rPr>
          <w:rFonts w:ascii="仿宋" w:hAnsi="仿宋" w:eastAsia="仿宋"/>
          <w:b w:val="0"/>
          <w:i w:val="0"/>
          <w:sz w:val="24"/>
        </w:rPr>
        <w:t>分析吉利质量管控机制的实际落地效果与行业认可度。</w:t>
      </w:r>
    </w:p>
    <w:p>
      <w:pPr>
        <w:spacing w:line="360" w:lineRule="auto" w:after="120"/>
        <w:ind w:firstLine="420"/>
      </w:pPr>
      <w:r>
        <w:rPr>
          <w:rFonts w:ascii="仿宋" w:hAnsi="仿宋" w:eastAsia="仿宋"/>
          <w:b w:val="0"/>
          <w:i w:val="0"/>
          <w:sz w:val="24"/>
        </w:rPr>
        <w:t>数据来源说明：本报告引用的数据主要来源于吉利控股集团官方公开文件、</w:t>
      </w:r>
    </w:p>
    <w:p>
      <w:pPr>
        <w:spacing w:line="360" w:lineRule="auto" w:after="120"/>
        <w:ind w:firstLine="420"/>
      </w:pPr>
      <w:r>
        <w:rPr>
          <w:rFonts w:ascii="仿宋" w:hAnsi="仿宋" w:eastAsia="仿宋"/>
          <w:b w:val="0"/>
          <w:i w:val="0"/>
          <w:sz w:val="24"/>
        </w:rPr>
        <w:t>IATF 全球监督平台公告、中国汽车流通协会、C-NCAP、J.D. Power 等第三方权</w:t>
      </w:r>
    </w:p>
    <w:p>
      <w:pPr>
        <w:spacing w:line="360" w:lineRule="auto" w:after="120"/>
        <w:ind w:firstLine="420"/>
      </w:pPr>
      <w:r>
        <w:rPr>
          <w:rFonts w:ascii="仿宋" w:hAnsi="仿宋" w:eastAsia="仿宋"/>
          <w:b w:val="0"/>
          <w:i w:val="0"/>
          <w:sz w:val="24"/>
        </w:rPr>
        <w:t>威评测机构发布的数据，以及盖世汽车等行业专业媒体的公开报道与调研资料。</w:t>
      </w:r>
    </w:p>
    <w:p>
      <w:pPr>
        <w:spacing w:before="360" w:after="240" w:line="360" w:lineRule="auto"/>
        <w:jc w:val="center"/>
      </w:pPr>
      <w:r>
        <w:rPr>
          <w:rFonts w:ascii="黑体" w:hAnsi="黑体" w:eastAsia="黑体"/>
          <w:b/>
          <w:i w:val="0"/>
          <w:sz w:val="32"/>
        </w:rPr>
        <w:t>2 吉利汽车供应商质量管理体系与核心标准</w:t>
      </w:r>
    </w:p>
    <w:p>
      <w:pPr>
        <w:spacing w:before="240" w:after="120" w:line="360" w:lineRule="auto"/>
      </w:pPr>
      <w:r>
        <w:rPr>
          <w:rFonts w:ascii="黑体" w:hAnsi="黑体" w:eastAsia="黑体"/>
          <w:b/>
          <w:i w:val="0"/>
          <w:sz w:val="28"/>
        </w:rPr>
        <w:t>2.1 质量管理体系基础</w:t>
      </w:r>
    </w:p>
    <w:p>
      <w:pPr>
        <w:spacing w:line="360" w:lineRule="auto" w:after="120"/>
        <w:ind w:firstLine="420"/>
      </w:pPr>
      <w:r>
        <w:rPr>
          <w:rFonts w:ascii="仿宋" w:hAnsi="仿宋" w:eastAsia="仿宋"/>
          <w:b w:val="0"/>
          <w:i w:val="0"/>
          <w:sz w:val="24"/>
        </w:rPr>
        <w:t>吉利汽车供应商质量管理以 IATF 16949:2016 汽车行业质量管理体系为核</w:t>
      </w:r>
    </w:p>
    <w:p>
      <w:pPr>
        <w:spacing w:line="360" w:lineRule="auto" w:after="120"/>
        <w:ind w:firstLine="420"/>
      </w:pPr>
      <w:r>
        <w:rPr>
          <w:rFonts w:ascii="仿宋" w:hAnsi="仿宋" w:eastAsia="仿宋"/>
          <w:b w:val="0"/>
          <w:i w:val="0"/>
          <w:sz w:val="24"/>
        </w:rPr>
        <w:t>心基础，同步遵循 ISO 9001、ISO 14001（环境）、ISO 45001（职业健康安全）</w:t>
      </w:r>
    </w:p>
    <w:p>
      <w:pPr>
        <w:spacing w:line="360" w:lineRule="auto" w:after="120"/>
        <w:ind w:firstLine="420"/>
      </w:pPr>
      <w:r>
        <w:rPr>
          <w:rFonts w:ascii="仿宋" w:hAnsi="仿宋" w:eastAsia="仿宋"/>
          <w:b w:val="0"/>
          <w:i w:val="0"/>
          <w:sz w:val="24"/>
        </w:rPr>
        <w:t>国际标准。</w:t>
      </w:r>
    </w:p>
    <w:p>
      <w:pPr>
        <w:spacing w:line="360" w:lineRule="auto" w:after="120"/>
        <w:ind w:firstLine="420"/>
      </w:pPr>
      <w:r>
        <w:rPr>
          <w:rFonts w:ascii="仿宋" w:hAnsi="仿宋" w:eastAsia="仿宋"/>
          <w:b w:val="0"/>
          <w:i w:val="0"/>
          <w:sz w:val="24"/>
        </w:rPr>
        <w:t>尤为重要的是，2025年6月，吉利汽车正式发布新版《顾客特定要求（CSR）》，</w:t>
      </w:r>
    </w:p>
    <w:p>
      <w:pPr>
        <w:spacing w:line="360" w:lineRule="auto" w:after="120"/>
        <w:ind w:firstLine="420"/>
      </w:pPr>
      <w:r>
        <w:rPr>
          <w:rFonts w:ascii="仿宋" w:hAnsi="仿宋" w:eastAsia="仿宋"/>
          <w:b w:val="0"/>
          <w:i w:val="0"/>
          <w:sz w:val="24"/>
        </w:rPr>
        <w:t>并配套更新了《供应商质量管理手册（V1.0版）》，于 2025年7月 1日正式生</w:t>
      </w:r>
    </w:p>
    <w:p>
      <w:pPr>
        <w:spacing w:line="360" w:lineRule="auto" w:after="120"/>
        <w:ind w:firstLine="420"/>
      </w:pPr>
      <w:r>
        <w:rPr>
          <w:rFonts w:ascii="仿宋" w:hAnsi="仿宋" w:eastAsia="仿宋"/>
          <w:b w:val="0"/>
          <w:i w:val="0"/>
          <w:sz w:val="24"/>
        </w:rPr>
        <w:t>效，全面替代2021年旧版。新版CSR是IATF 16949在吉利采购体系中的具体化</w:t>
      </w:r>
    </w:p>
    <w:p>
      <w:pPr>
        <w:spacing w:line="360" w:lineRule="auto" w:after="120"/>
        <w:ind w:firstLine="420"/>
      </w:pPr>
      <w:r>
        <w:rPr>
          <w:rFonts w:ascii="仿宋" w:hAnsi="仿宋" w:eastAsia="仿宋"/>
          <w:b w:val="0"/>
          <w:i w:val="0"/>
          <w:sz w:val="24"/>
        </w:rPr>
        <w:t>延伸与强化，它明确了超出标准通用条款的吉利独家要求，覆盖产品安全、可追</w:t>
      </w:r>
    </w:p>
    <w:p>
      <w:pPr>
        <w:spacing w:line="360" w:lineRule="auto" w:after="120"/>
        <w:ind w:firstLine="420"/>
      </w:pPr>
      <w:r>
        <w:rPr>
          <w:rFonts w:ascii="仿宋" w:hAnsi="仿宋" w:eastAsia="仿宋"/>
          <w:b w:val="0"/>
          <w:i w:val="0"/>
          <w:sz w:val="24"/>
        </w:rPr>
        <w:t>溯性、变更管理及嵌入式软件质量等关键领域，构成了吉利供应商质量管控的专</w:t>
      </w:r>
    </w:p>
    <w:p>
      <w:pPr>
        <w:spacing w:line="360" w:lineRule="auto" w:after="120"/>
        <w:ind w:firstLine="420"/>
      </w:pPr>
      <w:r>
        <w:rPr>
          <w:rFonts w:ascii="仿宋" w:hAnsi="仿宋" w:eastAsia="仿宋"/>
          <w:b w:val="0"/>
          <w:i w:val="0"/>
          <w:sz w:val="24"/>
        </w:rPr>
        <w:t>属强制性标准文件。</w:t>
      </w:r>
    </w:p>
    <w:p>
      <w:pPr>
        <w:spacing w:before="240" w:after="120" w:line="360" w:lineRule="auto"/>
      </w:pPr>
      <w:r>
        <w:rPr>
          <w:rFonts w:ascii="黑体" w:hAnsi="黑体" w:eastAsia="黑体"/>
          <w:b/>
          <w:i w:val="0"/>
          <w:sz w:val="28"/>
        </w:rPr>
        <w:t>2.2 核心管理原则</w:t>
      </w:r>
    </w:p>
    <w:p>
      <w:pPr>
        <w:spacing w:line="360" w:lineRule="auto" w:after="120"/>
        <w:ind w:firstLine="420"/>
      </w:pPr>
      <w:r>
        <w:rPr>
          <w:rFonts w:ascii="仿宋" w:hAnsi="仿宋" w:eastAsia="仿宋"/>
          <w:b w:val="0"/>
          <w:i w:val="0"/>
          <w:sz w:val="24"/>
        </w:rPr>
        <w:t>吉利汽车供应商质量管理的实施，遵循以下五项核心原则，贯穿于供应商全</w:t>
      </w:r>
    </w:p>
    <w:p>
      <w:pPr>
        <w:spacing w:line="360" w:lineRule="auto" w:after="120"/>
        <w:ind w:firstLine="420"/>
      </w:pPr>
      <w:r>
        <w:rPr>
          <w:rFonts w:ascii="仿宋" w:hAnsi="仿宋" w:eastAsia="仿宋"/>
          <w:b w:val="0"/>
          <w:i w:val="0"/>
          <w:sz w:val="24"/>
        </w:rPr>
        <w:t>生命周期管理的各环节：</w:t>
      </w:r>
    </w:p>
    <w:p>
      <w:pPr>
        <w:spacing w:line="360" w:lineRule="auto" w:after="120"/>
        <w:ind w:firstLine="420"/>
      </w:pPr>
      <w:r>
        <w:rPr>
          <w:rFonts w:ascii="仿宋" w:hAnsi="仿宋" w:eastAsia="仿宋"/>
          <w:b w:val="0"/>
          <w:i w:val="0"/>
          <w:sz w:val="24"/>
        </w:rPr>
        <w:t>全生命周期管控：覆盖供应商准入、研发、量产、售后、退出全流程，质</w:t>
      </w:r>
    </w:p>
    <w:p>
      <w:pPr>
        <w:spacing w:line="360" w:lineRule="auto" w:after="120"/>
        <w:ind w:firstLine="420"/>
      </w:pPr>
      <w:r>
        <w:rPr>
          <w:rFonts w:ascii="仿宋" w:hAnsi="仿宋" w:eastAsia="仿宋"/>
          <w:b w:val="0"/>
          <w:i w:val="0"/>
          <w:sz w:val="24"/>
        </w:rPr>
        <w:t>1.</w:t>
      </w:r>
    </w:p>
    <w:p>
      <w:pPr>
        <w:spacing w:line="360" w:lineRule="auto" w:after="120"/>
        <w:ind w:firstLine="420"/>
      </w:pPr>
      <w:r>
        <w:rPr>
          <w:rFonts w:ascii="仿宋" w:hAnsi="仿宋" w:eastAsia="仿宋"/>
          <w:b w:val="0"/>
          <w:i w:val="0"/>
          <w:sz w:val="24"/>
        </w:rPr>
        <w:t>量责任贯穿产品全生命周期。</w:t>
      </w:r>
    </w:p>
    <w:p>
      <w:pPr>
        <w:spacing w:line="360" w:lineRule="auto" w:after="120"/>
        <w:ind w:firstLine="420"/>
      </w:pPr>
      <w:r>
        <w:rPr>
          <w:rFonts w:ascii="仿宋" w:hAnsi="仿宋" w:eastAsia="仿宋"/>
          <w:b w:val="0"/>
          <w:i w:val="0"/>
          <w:sz w:val="24"/>
        </w:rPr>
        <w:t>2. 预防为主的先期质量策划：通过 APQP（先期产品质量策划）、DFMEA/PFMEA</w:t>
      </w:r>
    </w:p>
    <w:p>
      <w:pPr>
        <w:spacing w:line="360" w:lineRule="auto" w:after="120"/>
        <w:ind w:firstLine="420"/>
      </w:pPr>
      <w:r>
        <w:rPr>
          <w:rFonts w:ascii="仿宋" w:hAnsi="仿宋" w:eastAsia="仿宋"/>
          <w:b w:val="0"/>
          <w:i w:val="0"/>
          <w:sz w:val="24"/>
        </w:rPr>
        <w:t>（失效模式与影响分析）提前识别质量风险，减少事后整改。</w:t>
      </w:r>
    </w:p>
    <w:p>
      <w:pPr>
        <w:spacing w:line="360" w:lineRule="auto" w:after="120"/>
        <w:ind w:firstLine="420"/>
      </w:pPr>
      <w:r>
        <w:rPr>
          <w:rFonts w:ascii="仿宋" w:hAnsi="仿宋" w:eastAsia="仿宋"/>
          <w:b w:val="0"/>
          <w:i w:val="0"/>
          <w:sz w:val="24"/>
        </w:rPr>
        <w:t>3. 数据驱动：建立数字化质量监控平台，实时采集、分析供应商质量数据，</w:t>
      </w:r>
    </w:p>
    <w:p>
      <w:pPr>
        <w:spacing w:line="360" w:lineRule="auto" w:after="120"/>
        <w:ind w:firstLine="420"/>
      </w:pPr>
      <w:r>
        <w:rPr>
          <w:rFonts w:ascii="仿宋" w:hAnsi="仿宋" w:eastAsia="仿宋"/>
          <w:b w:val="0"/>
          <w:i w:val="0"/>
          <w:sz w:val="24"/>
        </w:rPr>
        <w:t>实现预警与闭环改进。</w:t>
      </w:r>
    </w:p>
    <w:p>
      <w:pPr>
        <w:spacing w:line="360" w:lineRule="auto" w:after="120"/>
        <w:ind w:firstLine="420"/>
      </w:pPr>
      <w:r>
        <w:rPr>
          <w:rFonts w:ascii="仿宋" w:hAnsi="仿宋" w:eastAsia="仿宋"/>
          <w:b w:val="0"/>
          <w:i w:val="0"/>
          <w:sz w:val="24"/>
        </w:rPr>
        <w:t>4. 协同共赢：吉利倡导与供应商构建超越传统买卖关系的战略伙伴关系。</w:t>
      </w:r>
    </w:p>
    <w:p>
      <w:pPr>
        <w:spacing w:line="360" w:lineRule="auto" w:after="120"/>
        <w:ind w:firstLine="420"/>
      </w:pPr>
      <w:r>
        <w:rPr>
          <w:rFonts w:ascii="仿宋" w:hAnsi="仿宋" w:eastAsia="仿宋"/>
          <w:b w:val="0"/>
          <w:i w:val="0"/>
          <w:sz w:val="24"/>
        </w:rPr>
        <w:t>从 “被动管控” 转向 “战略协同”，推动供应商早期参与研发，联合技术攻</w:t>
      </w:r>
    </w:p>
    <w:p>
      <w:pPr>
        <w:spacing w:line="360" w:lineRule="auto" w:after="120"/>
        <w:ind w:firstLine="420"/>
      </w:pPr>
      <w:r>
        <w:rPr>
          <w:rFonts w:ascii="仿宋" w:hAnsi="仿宋" w:eastAsia="仿宋"/>
          <w:b w:val="0"/>
          <w:i w:val="0"/>
          <w:sz w:val="24"/>
        </w:rPr>
        <w:t>关、质量提升。</w:t>
      </w:r>
    </w:p>
    <w:p>
      <w:pPr>
        <w:spacing w:line="360" w:lineRule="auto" w:after="120"/>
        <w:ind w:firstLine="420"/>
      </w:pPr>
      <w:r>
        <w:rPr>
          <w:rFonts w:ascii="仿宋" w:hAnsi="仿宋" w:eastAsia="仿宋"/>
          <w:b w:val="0"/>
          <w:i w:val="0"/>
          <w:sz w:val="24"/>
        </w:rPr>
        <w:t>5. 绿色与可持续发展：紧跟全球汽车产业碳中和趋势，吉利将绿色低碳指</w:t>
      </w:r>
    </w:p>
    <w:p>
      <w:pPr>
        <w:spacing w:line="360" w:lineRule="auto" w:after="120"/>
        <w:ind w:firstLine="420"/>
      </w:pPr>
      <w:r>
        <w:rPr>
          <w:rFonts w:ascii="仿宋" w:hAnsi="仿宋" w:eastAsia="仿宋"/>
          <w:b w:val="0"/>
          <w:i w:val="0"/>
          <w:sz w:val="24"/>
        </w:rPr>
        <w:t>标与商业道德实践纳入供应商质量评价体系。要求供应商在保障产品实物质量的</w:t>
      </w:r>
    </w:p>
    <w:p>
      <w:pPr>
        <w:spacing w:line="360" w:lineRule="auto" w:after="120"/>
        <w:ind w:firstLine="420"/>
      </w:pPr>
      <w:r>
        <w:rPr>
          <w:rFonts w:ascii="仿宋" w:hAnsi="仿宋" w:eastAsia="仿宋"/>
          <w:b w:val="0"/>
          <w:i w:val="0"/>
          <w:sz w:val="24"/>
        </w:rPr>
        <w:t>同时，必须符合环境合规、碳减排、循环材料应用及负责任矿产采购等可持续性</w:t>
      </w:r>
    </w:p>
    <w:p>
      <w:pPr>
        <w:spacing w:line="360" w:lineRule="auto" w:after="120"/>
        <w:ind w:firstLine="420"/>
      </w:pPr>
      <w:r>
        <w:rPr>
          <w:rFonts w:ascii="仿宋" w:hAnsi="仿宋" w:eastAsia="仿宋"/>
          <w:b w:val="0"/>
          <w:i w:val="0"/>
          <w:sz w:val="24"/>
        </w:rPr>
        <w:t>要求，实现质量竞争力与环境社会效益的统一。</w:t>
      </w:r>
    </w:p>
    <w:p>
      <w:pPr>
        <w:spacing w:before="240" w:after="120" w:line="360" w:lineRule="auto"/>
      </w:pPr>
      <w:r>
        <w:rPr>
          <w:rFonts w:ascii="黑体" w:hAnsi="黑体" w:eastAsia="黑体"/>
          <w:b/>
          <w:i w:val="0"/>
          <w:sz w:val="28"/>
        </w:rPr>
        <w:t>2.3 核心管控标准（2025版CSR）</w:t>
      </w:r>
    </w:p>
    <w:p>
      <w:pPr>
        <w:spacing w:before="120" w:after="60" w:line="360" w:lineRule="auto"/>
      </w:pPr>
      <w:r>
        <w:rPr>
          <w:rFonts w:ascii="黑体" w:hAnsi="黑体" w:eastAsia="黑体"/>
          <w:b/>
          <w:i w:val="0"/>
          <w:sz w:val="24"/>
        </w:rPr>
        <w:t>2.3.1 供应商准入强制标准</w:t>
      </w:r>
    </w:p>
    <w:p>
      <w:pPr>
        <w:spacing w:line="360" w:lineRule="auto" w:after="120"/>
        <w:ind w:firstLine="420"/>
      </w:pPr>
      <w:r>
        <w:rPr>
          <w:rFonts w:ascii="仿宋" w:hAnsi="仿宋" w:eastAsia="仿宋"/>
          <w:b w:val="0"/>
          <w:i w:val="0"/>
          <w:sz w:val="24"/>
        </w:rPr>
        <w:t>1. 必须通过IATF 16949 认证，无认证供应商直接排除入围资格。</w:t>
      </w:r>
    </w:p>
    <w:p>
      <w:pPr>
        <w:spacing w:line="360" w:lineRule="auto" w:after="120"/>
        <w:ind w:firstLine="420"/>
      </w:pPr>
      <w:r>
        <w:rPr>
          <w:rFonts w:ascii="仿宋" w:hAnsi="仿宋" w:eastAsia="仿宋"/>
          <w:b w:val="0"/>
          <w:i w:val="0"/>
          <w:sz w:val="24"/>
        </w:rPr>
        <w:t>2. 需签署《吉利供应商行为准则》，通过环境、人权、商业伦理合规审核。</w:t>
      </w:r>
    </w:p>
    <w:p>
      <w:pPr>
        <w:spacing w:line="360" w:lineRule="auto" w:after="120"/>
        <w:ind w:firstLine="420"/>
      </w:pPr>
      <w:r>
        <w:rPr>
          <w:rFonts w:ascii="仿宋" w:hAnsi="仿宋" w:eastAsia="仿宋"/>
          <w:b w:val="0"/>
          <w:i w:val="0"/>
          <w:sz w:val="24"/>
        </w:rPr>
        <w:t>3. 核心零部件供应商需具备 CNAS 认可实验室资质，满足吉利全尺寸检</w:t>
      </w:r>
    </w:p>
    <w:p>
      <w:pPr>
        <w:spacing w:line="360" w:lineRule="auto" w:after="120"/>
        <w:ind w:firstLine="420"/>
      </w:pPr>
      <w:r>
        <w:rPr>
          <w:rFonts w:ascii="仿宋" w:hAnsi="仿宋" w:eastAsia="仿宋"/>
          <w:b w:val="0"/>
          <w:i w:val="0"/>
          <w:sz w:val="24"/>
        </w:rPr>
        <w:t>验、功能性试验要求。</w:t>
      </w:r>
    </w:p>
    <w:p>
      <w:pPr>
        <w:spacing w:before="120" w:after="60" w:line="360" w:lineRule="auto"/>
      </w:pPr>
      <w:r>
        <w:rPr>
          <w:rFonts w:ascii="黑体" w:hAnsi="黑体" w:eastAsia="黑体"/>
          <w:b/>
          <w:i w:val="0"/>
          <w:sz w:val="24"/>
        </w:rPr>
        <w:t>2.3.2 质量过程管控标准</w:t>
      </w:r>
    </w:p>
    <w:p>
      <w:pPr>
        <w:spacing w:line="360" w:lineRule="auto" w:after="120"/>
        <w:ind w:firstLine="420"/>
      </w:pPr>
      <w:r>
        <w:rPr>
          <w:rFonts w:ascii="仿宋" w:hAnsi="仿宋" w:eastAsia="仿宋"/>
          <w:b w:val="0"/>
          <w:i w:val="0"/>
          <w:sz w:val="24"/>
        </w:rPr>
        <w:t>1. 实施PPAP五阶段强控：所有新开发或设计变更的零部件，必须严格执行</w:t>
      </w:r>
    </w:p>
    <w:p>
      <w:pPr>
        <w:spacing w:line="360" w:lineRule="auto" w:after="120"/>
        <w:ind w:firstLine="420"/>
      </w:pPr>
      <w:r>
        <w:rPr>
          <w:rFonts w:ascii="仿宋" w:hAnsi="仿宋" w:eastAsia="仿宋"/>
          <w:b w:val="0"/>
          <w:i w:val="0"/>
          <w:sz w:val="24"/>
        </w:rPr>
        <w:t>生产件批准程序（PPAP），并保存完整的批准记录。覆盖产品设计、样件制作、</w:t>
      </w:r>
    </w:p>
    <w:p>
      <w:pPr>
        <w:spacing w:line="360" w:lineRule="auto" w:after="120"/>
        <w:ind w:firstLine="420"/>
      </w:pPr>
      <w:r>
        <w:rPr>
          <w:rFonts w:ascii="仿宋" w:hAnsi="仿宋" w:eastAsia="仿宋"/>
          <w:b w:val="0"/>
          <w:i w:val="0"/>
          <w:sz w:val="24"/>
        </w:rPr>
        <w:t>过程验证、批量生产、交付全环节，未通过PPAP不得量产。</w:t>
      </w:r>
    </w:p>
    <w:p>
      <w:pPr>
        <w:spacing w:line="360" w:lineRule="auto" w:after="120"/>
        <w:ind w:firstLine="420"/>
      </w:pPr>
      <w:r>
        <w:rPr>
          <w:rFonts w:ascii="仿宋" w:hAnsi="仿宋" w:eastAsia="仿宋"/>
          <w:b w:val="0"/>
          <w:i w:val="0"/>
          <w:sz w:val="24"/>
        </w:rPr>
        <w:t>2. SPC统计过程控制：对于涉及安全、法规及关键功能的零部件特性，供应</w:t>
      </w:r>
    </w:p>
    <w:p>
      <w:pPr>
        <w:spacing w:line="360" w:lineRule="auto" w:after="120"/>
        <w:ind w:firstLine="420"/>
      </w:pPr>
      <w:r>
        <w:rPr>
          <w:rFonts w:ascii="仿宋" w:hAnsi="仿宋" w:eastAsia="仿宋"/>
          <w:b w:val="0"/>
          <w:i w:val="0"/>
          <w:sz w:val="24"/>
        </w:rPr>
        <w:t>商必须在生产现场实施统计过程控制（SPC）。吉利明确要求关键特性的过程能</w:t>
      </w:r>
    </w:p>
    <w:p>
      <w:pPr>
        <w:spacing w:line="360" w:lineRule="auto" w:after="120"/>
        <w:ind w:firstLine="420"/>
      </w:pPr>
      <w:r>
        <w:rPr>
          <w:rFonts w:ascii="仿宋" w:hAnsi="仿宋" w:eastAsia="仿宋"/>
          <w:b w:val="0"/>
          <w:i w:val="0"/>
          <w:sz w:val="24"/>
        </w:rPr>
        <w:t>力指数 Cpk≥1.33（部分特殊安全件要求 Cpk≥1.67），以此作为判定生产过程</w:t>
      </w:r>
    </w:p>
    <w:p>
      <w:pPr>
        <w:spacing w:line="360" w:lineRule="auto" w:after="120"/>
        <w:ind w:firstLine="420"/>
      </w:pPr>
      <w:r>
        <w:rPr>
          <w:rFonts w:ascii="仿宋" w:hAnsi="仿宋" w:eastAsia="仿宋"/>
          <w:b w:val="0"/>
          <w:i w:val="0"/>
          <w:sz w:val="24"/>
        </w:rPr>
        <w:t>是否稳定、是否具备持续生产合格产品能力的重要依据。对于Cpk不达标的工序，</w:t>
      </w:r>
    </w:p>
    <w:p>
      <w:pPr>
        <w:spacing w:line="360" w:lineRule="auto" w:after="120"/>
        <w:ind w:firstLine="420"/>
      </w:pPr>
      <w:r>
        <w:rPr>
          <w:rFonts w:ascii="仿宋" w:hAnsi="仿宋" w:eastAsia="仿宋"/>
          <w:b w:val="0"/>
          <w:i w:val="0"/>
          <w:sz w:val="24"/>
        </w:rPr>
        <w:t>供应商必须实施100%全检直至过程能力改善合格。</w:t>
      </w:r>
    </w:p>
    <w:p>
      <w:pPr>
        <w:spacing w:line="360" w:lineRule="auto" w:after="120"/>
        <w:ind w:firstLine="420"/>
      </w:pPr>
      <w:r>
        <w:rPr>
          <w:rFonts w:ascii="仿宋" w:hAnsi="仿宋" w:eastAsia="仿宋"/>
          <w:b w:val="0"/>
          <w:i w:val="0"/>
          <w:sz w:val="24"/>
        </w:rPr>
        <w:t>3. 检验验证与追溯要求：供应商需对交付产品实施 100%全尺寸检验与功能</w:t>
      </w:r>
    </w:p>
    <w:p>
      <w:pPr>
        <w:spacing w:line="360" w:lineRule="auto" w:after="120"/>
        <w:ind w:firstLine="420"/>
      </w:pPr>
      <w:r>
        <w:rPr>
          <w:rFonts w:ascii="仿宋" w:hAnsi="仿宋" w:eastAsia="仿宋"/>
          <w:b w:val="0"/>
          <w:i w:val="0"/>
          <w:sz w:val="24"/>
        </w:rPr>
        <w:t>性试验，并完整保留检验与试验记录，保存期限不少于产品寿命周期加一个日历</w:t>
      </w:r>
    </w:p>
    <w:p>
      <w:pPr>
        <w:spacing w:line="360" w:lineRule="auto" w:after="120"/>
        <w:ind w:firstLine="420"/>
      </w:pPr>
      <w:r>
        <w:rPr>
          <w:rFonts w:ascii="仿宋" w:hAnsi="仿宋" w:eastAsia="仿宋"/>
          <w:b w:val="0"/>
          <w:i w:val="0"/>
          <w:sz w:val="24"/>
        </w:rPr>
        <w:t>年。吉利有权随时开展飞行检查以复核检验数据的真实性，并要求供应商具备从</w:t>
      </w:r>
    </w:p>
    <w:p>
      <w:pPr>
        <w:spacing w:line="360" w:lineRule="auto" w:after="120"/>
        <w:ind w:firstLine="420"/>
      </w:pPr>
      <w:r>
        <w:rPr>
          <w:rFonts w:ascii="仿宋" w:hAnsi="仿宋" w:eastAsia="仿宋"/>
          <w:b w:val="0"/>
          <w:i w:val="0"/>
          <w:sz w:val="24"/>
        </w:rPr>
        <w:t>原材料批次到成品发货的全流程精确追溯能力。</w:t>
      </w:r>
    </w:p>
    <w:p>
      <w:pPr>
        <w:spacing w:before="120" w:after="60" w:line="360" w:lineRule="auto"/>
      </w:pPr>
      <w:r>
        <w:rPr>
          <w:rFonts w:ascii="黑体" w:hAnsi="黑体" w:eastAsia="黑体"/>
          <w:b/>
          <w:i w:val="0"/>
          <w:sz w:val="24"/>
        </w:rPr>
        <w:t>2.3.3 质量绩效评价标准</w:t>
      </w:r>
    </w:p>
    <w:p>
      <w:pPr>
        <w:spacing w:line="360" w:lineRule="auto" w:after="120"/>
        <w:ind w:firstLine="420"/>
      </w:pPr>
      <w:r>
        <w:rPr>
          <w:rFonts w:ascii="仿宋" w:hAnsi="仿宋" w:eastAsia="仿宋"/>
          <w:b w:val="0"/>
          <w:i w:val="0"/>
          <w:sz w:val="24"/>
        </w:rPr>
        <w:t>1. 五维综合评价模型：供应商季度与年度绩效考核围绕质量（Quality，权</w:t>
      </w:r>
    </w:p>
    <w:p>
      <w:pPr>
        <w:spacing w:line="360" w:lineRule="auto" w:after="120"/>
        <w:ind w:firstLine="420"/>
      </w:pPr>
      <w:r>
        <w:rPr>
          <w:rFonts w:ascii="仿宋" w:hAnsi="仿宋" w:eastAsia="仿宋"/>
          <w:b w:val="0"/>
          <w:i w:val="0"/>
          <w:sz w:val="24"/>
        </w:rPr>
        <w:t>重最高）、交付（Delivery）、成本（Cost）、服务与配合（Service）、可持</w:t>
      </w:r>
    </w:p>
    <w:p>
      <w:pPr>
        <w:spacing w:line="360" w:lineRule="auto" w:after="120"/>
        <w:ind w:firstLine="420"/>
      </w:pPr>
      <w:r>
        <w:rPr>
          <w:rFonts w:ascii="仿宋" w:hAnsi="仿宋" w:eastAsia="仿宋"/>
          <w:b w:val="0"/>
          <w:i w:val="0"/>
          <w:sz w:val="24"/>
        </w:rPr>
        <w:t>续性（Sustainability）五大维度展开。每个维度下设具体量化指标与扣分细则。</w:t>
      </w:r>
    </w:p>
    <w:p>
      <w:pPr>
        <w:spacing w:line="360" w:lineRule="auto" w:after="120"/>
        <w:ind w:firstLine="420"/>
      </w:pPr>
      <w:r>
        <w:rPr>
          <w:rFonts w:ascii="仿宋" w:hAnsi="仿宋" w:eastAsia="仿宋"/>
          <w:b w:val="0"/>
          <w:i w:val="0"/>
          <w:sz w:val="24"/>
        </w:rPr>
        <w:t>2. 核心质量指标：来料批次合格率、不良品率（PPM）、质量问题整改完成</w:t>
      </w:r>
    </w:p>
    <w:p>
      <w:pPr>
        <w:spacing w:line="360" w:lineRule="auto" w:after="120"/>
        <w:ind w:firstLine="420"/>
      </w:pPr>
      <w:r>
        <w:rPr>
          <w:rFonts w:ascii="仿宋" w:hAnsi="仿宋" w:eastAsia="仿宋"/>
          <w:b w:val="0"/>
          <w:i w:val="0"/>
          <w:sz w:val="24"/>
        </w:rPr>
        <w:t>率、8D 报告闭环时效与有效性。</w:t>
      </w:r>
    </w:p>
    <w:p>
      <w:pPr>
        <w:spacing w:before="360" w:after="240" w:line="360" w:lineRule="auto"/>
        <w:jc w:val="center"/>
      </w:pPr>
      <w:r>
        <w:rPr>
          <w:rFonts w:ascii="黑体" w:hAnsi="黑体" w:eastAsia="黑体"/>
          <w:b/>
          <w:i w:val="0"/>
          <w:sz w:val="32"/>
        </w:rPr>
        <w:t>3 吉利汽车供应商质量管理全流程与机制</w:t>
      </w:r>
    </w:p>
    <w:p>
      <w:pPr>
        <w:spacing w:before="240" w:after="120" w:line="360" w:lineRule="auto"/>
      </w:pPr>
      <w:r>
        <w:rPr>
          <w:rFonts w:ascii="黑体" w:hAnsi="黑体" w:eastAsia="黑体"/>
          <w:b/>
          <w:i w:val="0"/>
          <w:sz w:val="28"/>
        </w:rPr>
        <w:t>3.1 供应商准入管理：三方联合评审，严进严出</w:t>
      </w:r>
    </w:p>
    <w:p>
      <w:pPr>
        <w:spacing w:line="360" w:lineRule="auto" w:after="120"/>
        <w:ind w:firstLine="420"/>
      </w:pPr>
      <w:r>
        <w:rPr>
          <w:rFonts w:ascii="仿宋" w:hAnsi="仿宋" w:eastAsia="仿宋"/>
          <w:b w:val="0"/>
          <w:i w:val="0"/>
          <w:sz w:val="24"/>
        </w:rPr>
        <w:t>为从源头把控供应链质量风险，吉利实行严格且多维度联动的供应商准入评</w:t>
      </w:r>
    </w:p>
    <w:p>
      <w:pPr>
        <w:spacing w:line="360" w:lineRule="auto" w:after="120"/>
        <w:ind w:firstLine="420"/>
      </w:pPr>
      <w:r>
        <w:rPr>
          <w:rFonts w:ascii="仿宋" w:hAnsi="仿宋" w:eastAsia="仿宋"/>
          <w:b w:val="0"/>
          <w:i w:val="0"/>
          <w:sz w:val="24"/>
        </w:rPr>
        <w:t>审机制，核心特征是“质量、技术、采购”三方联合评审与“一票否决制”。整</w:t>
      </w:r>
    </w:p>
    <w:p>
      <w:pPr>
        <w:spacing w:line="360" w:lineRule="auto" w:after="120"/>
        <w:ind w:firstLine="420"/>
      </w:pPr>
      <w:r>
        <w:rPr>
          <w:rFonts w:ascii="仿宋" w:hAnsi="仿宋" w:eastAsia="仿宋"/>
          <w:b w:val="0"/>
          <w:i w:val="0"/>
          <w:sz w:val="24"/>
        </w:rPr>
        <w:t>个准入流程分为四个紧密衔接的环节：</w:t>
      </w:r>
    </w:p>
    <w:p>
      <w:pPr>
        <w:spacing w:line="360" w:lineRule="auto" w:after="120"/>
        <w:ind w:firstLine="420"/>
      </w:pPr>
      <w:r>
        <w:rPr>
          <w:rFonts w:ascii="仿宋" w:hAnsi="仿宋" w:eastAsia="仿宋"/>
          <w:b w:val="0"/>
          <w:i w:val="0"/>
          <w:sz w:val="24"/>
        </w:rPr>
        <w:t>1. 资质初审：采购部门依据项目需求发起潜在供应商寻源，质量管理部门负</w:t>
      </w:r>
    </w:p>
    <w:p>
      <w:pPr>
        <w:spacing w:line="360" w:lineRule="auto" w:after="120"/>
        <w:ind w:firstLine="420"/>
      </w:pPr>
      <w:r>
        <w:rPr>
          <w:rFonts w:ascii="仿宋" w:hAnsi="仿宋" w:eastAsia="仿宋"/>
          <w:b w:val="0"/>
          <w:i w:val="0"/>
          <w:sz w:val="24"/>
        </w:rPr>
        <w:t>责对供应商提交的资质文件进行形式审查与合规性核验。审查重点包括：IATF</w:t>
      </w:r>
    </w:p>
    <w:p>
      <w:pPr>
        <w:spacing w:line="360" w:lineRule="auto" w:after="120"/>
        <w:ind w:firstLine="420"/>
      </w:pPr>
      <w:r>
        <w:rPr>
          <w:rFonts w:ascii="仿宋" w:hAnsi="仿宋" w:eastAsia="仿宋"/>
          <w:b w:val="0"/>
          <w:i w:val="0"/>
          <w:sz w:val="24"/>
        </w:rPr>
        <w:t>16949认证有效性、营业执照经营范围、近三年无重大质量/环境/安全处罚记录、</w:t>
      </w:r>
    </w:p>
    <w:p>
      <w:pPr>
        <w:spacing w:line="360" w:lineRule="auto" w:after="120"/>
        <w:ind w:firstLine="420"/>
      </w:pPr>
      <w:r>
        <w:rPr>
          <w:rFonts w:ascii="仿宋" w:hAnsi="仿宋" w:eastAsia="仿宋"/>
          <w:b w:val="0"/>
          <w:i w:val="0"/>
          <w:sz w:val="24"/>
        </w:rPr>
        <w:t>同类产品配套经验证明等。凡不符合基础门槛的供应商，直接终止准入流程。</w:t>
      </w:r>
    </w:p>
    <w:p>
      <w:pPr>
        <w:spacing w:line="360" w:lineRule="auto" w:after="120"/>
        <w:ind w:firstLine="420"/>
      </w:pPr>
      <w:r>
        <w:rPr>
          <w:rFonts w:ascii="仿宋" w:hAnsi="仿宋" w:eastAsia="仿宋"/>
          <w:b w:val="0"/>
          <w:i w:val="0"/>
          <w:sz w:val="24"/>
        </w:rPr>
        <w:t>2. 实地考察：对于通过资质初审的供应商，吉利将派出由质量工程师（SQE）、</w:t>
      </w:r>
    </w:p>
    <w:p>
      <w:pPr>
        <w:spacing w:line="360" w:lineRule="auto" w:after="120"/>
        <w:ind w:firstLine="420"/>
      </w:pPr>
      <w:r>
        <w:rPr>
          <w:rFonts w:ascii="仿宋" w:hAnsi="仿宋" w:eastAsia="仿宋"/>
          <w:b w:val="0"/>
          <w:i w:val="0"/>
          <w:sz w:val="24"/>
        </w:rPr>
        <w:t>技术研发代表及采购专员组成的跨部门联合审核组，开展为期 1-3 天的现场审</w:t>
      </w:r>
    </w:p>
    <w:p>
      <w:pPr>
        <w:spacing w:line="360" w:lineRule="auto" w:after="120"/>
        <w:ind w:firstLine="420"/>
      </w:pPr>
      <w:r>
        <w:rPr>
          <w:rFonts w:ascii="仿宋" w:hAnsi="仿宋" w:eastAsia="仿宋"/>
          <w:b w:val="0"/>
          <w:i w:val="0"/>
          <w:sz w:val="24"/>
        </w:rPr>
        <w:t>核。</w:t>
      </w:r>
    </w:p>
    <w:p>
      <w:pPr>
        <w:spacing w:line="360" w:lineRule="auto" w:after="120"/>
        <w:ind w:firstLine="420"/>
      </w:pPr>
      <w:r>
        <w:rPr>
          <w:rFonts w:ascii="仿宋" w:hAnsi="仿宋" w:eastAsia="仿宋"/>
          <w:b w:val="0"/>
          <w:i w:val="0"/>
          <w:sz w:val="24"/>
        </w:rPr>
        <w:t>3. 样品测试：通过现场审核的供应商需按吉利技术规范制作样品，并送至吉</w:t>
      </w:r>
    </w:p>
    <w:p>
      <w:pPr>
        <w:spacing w:line="360" w:lineRule="auto" w:after="120"/>
        <w:ind w:firstLine="420"/>
      </w:pPr>
      <w:r>
        <w:rPr>
          <w:rFonts w:ascii="仿宋" w:hAnsi="仿宋" w:eastAsia="仿宋"/>
          <w:b w:val="0"/>
          <w:i w:val="0"/>
          <w:sz w:val="24"/>
        </w:rPr>
        <w:t>利中央研究院或其指定的 CNAS 认可实验室进行全项性能测试。测试项目包括尺</w:t>
      </w:r>
    </w:p>
    <w:p>
      <w:pPr>
        <w:spacing w:line="360" w:lineRule="auto" w:after="120"/>
        <w:ind w:firstLine="420"/>
      </w:pPr>
      <w:r>
        <w:rPr>
          <w:rFonts w:ascii="仿宋" w:hAnsi="仿宋" w:eastAsia="仿宋"/>
          <w:b w:val="0"/>
          <w:i w:val="0"/>
          <w:sz w:val="24"/>
        </w:rPr>
        <w:t>寸精度、材料成分、机械性能、耐久寿命、环境适应性等。吉利要求新供应商准</w:t>
      </w:r>
    </w:p>
    <w:p>
      <w:pPr>
        <w:spacing w:line="360" w:lineRule="auto" w:after="120"/>
        <w:ind w:firstLine="420"/>
      </w:pPr>
      <w:r>
        <w:rPr>
          <w:rFonts w:ascii="仿宋" w:hAnsi="仿宋" w:eastAsia="仿宋"/>
          <w:b w:val="0"/>
          <w:i w:val="0"/>
          <w:sz w:val="24"/>
        </w:rPr>
        <w:t>入阶段的样品测试一次性通过率为 100%，任何一项关键指标不合格均视为准入</w:t>
      </w:r>
    </w:p>
    <w:p>
      <w:pPr>
        <w:spacing w:line="360" w:lineRule="auto" w:after="120"/>
        <w:ind w:firstLine="420"/>
      </w:pPr>
      <w:r>
        <w:rPr>
          <w:rFonts w:ascii="仿宋" w:hAnsi="仿宋" w:eastAsia="仿宋"/>
          <w:b w:val="0"/>
          <w:i w:val="0"/>
          <w:sz w:val="24"/>
        </w:rPr>
        <w:t>失败。</w:t>
      </w:r>
    </w:p>
    <w:p>
      <w:pPr>
        <w:spacing w:line="360" w:lineRule="auto" w:after="120"/>
        <w:ind w:firstLine="420"/>
      </w:pPr>
      <w:r>
        <w:rPr>
          <w:rFonts w:ascii="仿宋" w:hAnsi="仿宋" w:eastAsia="仿宋"/>
          <w:b w:val="0"/>
          <w:i w:val="0"/>
          <w:sz w:val="24"/>
        </w:rPr>
        <w:t>4. 小批量试用：样品测试合格后，供应商进入小批量供货阶段，通常在整车</w:t>
      </w:r>
    </w:p>
    <w:p>
      <w:pPr>
        <w:spacing w:line="360" w:lineRule="auto" w:after="120"/>
        <w:ind w:firstLine="420"/>
      </w:pPr>
      <w:r>
        <w:rPr>
          <w:rFonts w:ascii="仿宋" w:hAnsi="仿宋" w:eastAsia="仿宋"/>
          <w:b w:val="0"/>
          <w:i w:val="0"/>
          <w:sz w:val="24"/>
        </w:rPr>
        <w:t>试生产线上进行批量装配验证。此阶段重点考察供应商在批量生产条件下的质量</w:t>
      </w:r>
    </w:p>
    <w:p>
      <w:pPr>
        <w:spacing w:line="360" w:lineRule="auto" w:after="120"/>
        <w:ind w:firstLine="420"/>
      </w:pPr>
      <w:r>
        <w:rPr>
          <w:rFonts w:ascii="仿宋" w:hAnsi="仿宋" w:eastAsia="仿宋"/>
          <w:b w:val="0"/>
          <w:i w:val="0"/>
          <w:sz w:val="24"/>
        </w:rPr>
        <w:t>一致性与交付稳定性。吉利规定试用期间来料不良品率须≤50PPM，且无因供应</w:t>
      </w:r>
    </w:p>
    <w:p>
      <w:pPr>
        <w:spacing w:line="360" w:lineRule="auto" w:after="120"/>
        <w:ind w:firstLine="420"/>
      </w:pPr>
      <w:r>
        <w:rPr>
          <w:rFonts w:ascii="仿宋" w:hAnsi="仿宋" w:eastAsia="仿宋"/>
          <w:b w:val="0"/>
          <w:i w:val="0"/>
          <w:sz w:val="24"/>
        </w:rPr>
        <w:t>商原因导致的停线事故。达标后，经质量委员会审批，该供应商方可被正式录入</w:t>
      </w:r>
    </w:p>
    <w:p>
      <w:pPr>
        <w:spacing w:line="360" w:lineRule="auto" w:after="120"/>
        <w:ind w:firstLine="420"/>
      </w:pPr>
      <w:r>
        <w:rPr>
          <w:rFonts w:ascii="仿宋" w:hAnsi="仿宋" w:eastAsia="仿宋"/>
          <w:b w:val="0"/>
          <w:i w:val="0"/>
          <w:sz w:val="24"/>
        </w:rPr>
        <w:t>《吉利汽车合格供应商名录》。</w:t>
      </w:r>
    </w:p>
    <w:p>
      <w:pPr>
        <w:spacing w:before="240" w:after="120" w:line="360" w:lineRule="auto"/>
      </w:pPr>
      <w:r>
        <w:rPr>
          <w:rFonts w:ascii="黑体" w:hAnsi="黑体" w:eastAsia="黑体"/>
          <w:b/>
          <w:i w:val="0"/>
          <w:sz w:val="28"/>
        </w:rPr>
        <w:t>3.2 供应商分级管理：金字塔动态评级，差异化管控</w:t>
      </w:r>
    </w:p>
    <w:p>
      <w:pPr>
        <w:spacing w:line="360" w:lineRule="auto" w:after="120"/>
        <w:ind w:firstLine="420"/>
      </w:pPr>
      <w:r>
        <w:rPr>
          <w:rFonts w:ascii="仿宋" w:hAnsi="仿宋" w:eastAsia="仿宋"/>
          <w:b w:val="0"/>
          <w:i w:val="0"/>
          <w:sz w:val="24"/>
        </w:rPr>
        <w:t>按季度绩效评价将供应商分为金字塔四级体系，考核结果与订单份额、付款</w:t>
      </w:r>
    </w:p>
    <w:p>
      <w:pPr>
        <w:spacing w:line="360" w:lineRule="auto" w:after="120"/>
        <w:ind w:firstLine="420"/>
      </w:pPr>
      <w:r>
        <w:rPr>
          <w:rFonts w:ascii="仿宋" w:hAnsi="仿宋" w:eastAsia="仿宋"/>
          <w:b w:val="0"/>
          <w:i w:val="0"/>
          <w:sz w:val="24"/>
        </w:rPr>
        <w:t>周期、合作权限直接挂钩：</w:t>
      </w:r>
    </w:p>
    <w:p>
      <w:pPr>
        <w:spacing w:line="360" w:lineRule="auto" w:after="120"/>
        <w:ind w:firstLine="420"/>
      </w:pPr>
      <w:r>
        <w:rPr>
          <w:rFonts w:ascii="仿宋" w:hAnsi="仿宋" w:eastAsia="仿宋"/>
          <w:b w:val="0"/>
          <w:i w:val="0"/>
          <w:sz w:val="24"/>
        </w:rPr>
        <w:t>战略级（顶端）：质量、技术、成本全面领先，占比约 10%，享受优先订</w:t>
      </w:r>
    </w:p>
    <w:p>
      <w:pPr>
        <w:spacing w:line="360" w:lineRule="auto" w:after="120"/>
        <w:ind w:firstLine="420"/>
      </w:pPr>
      <w:r>
        <w:rPr>
          <w:rFonts w:ascii="仿宋" w:hAnsi="仿宋" w:eastAsia="仿宋"/>
          <w:b w:val="0"/>
          <w:i w:val="0"/>
          <w:sz w:val="24"/>
        </w:rPr>
        <w:t>单、联合研发、资金支持等政策。</w:t>
      </w:r>
    </w:p>
    <w:p>
      <w:pPr>
        <w:spacing w:line="360" w:lineRule="auto" w:after="120"/>
        <w:ind w:firstLine="420"/>
      </w:pPr>
      <w:r>
        <w:rPr>
          <w:rFonts w:ascii="仿宋" w:hAnsi="仿宋" w:eastAsia="仿宋"/>
          <w:b w:val="0"/>
          <w:i w:val="0"/>
          <w:sz w:val="24"/>
        </w:rPr>
        <w:t>优秀级：绩效达标且表现优异，占比约 30%，稳定供货，可逐步提升订单</w:t>
      </w:r>
    </w:p>
    <w:p>
      <w:pPr>
        <w:spacing w:line="360" w:lineRule="auto" w:after="120"/>
        <w:ind w:firstLine="420"/>
      </w:pPr>
      <w:r>
        <w:rPr>
          <w:rFonts w:ascii="仿宋" w:hAnsi="仿宋" w:eastAsia="仿宋"/>
          <w:b w:val="0"/>
          <w:i w:val="0"/>
          <w:sz w:val="24"/>
        </w:rPr>
        <w:t>份额。</w:t>
      </w:r>
    </w:p>
    <w:p>
      <w:pPr>
        <w:spacing w:line="360" w:lineRule="auto" w:after="120"/>
        <w:ind w:firstLine="420"/>
      </w:pPr>
      <w:r>
        <w:rPr>
          <w:rFonts w:ascii="仿宋" w:hAnsi="仿宋" w:eastAsia="仿宋"/>
          <w:b w:val="0"/>
          <w:i w:val="0"/>
          <w:sz w:val="24"/>
        </w:rPr>
        <w:t>合格级：满足基本质量要求，占比约 50%，需持续改进，限期提升绩效。</w:t>
      </w:r>
    </w:p>
    <w:p>
      <w:pPr>
        <w:spacing w:line="360" w:lineRule="auto" w:after="120"/>
        <w:ind w:firstLine="420"/>
      </w:pPr>
      <w:r>
        <w:rPr>
          <w:rFonts w:ascii="仿宋" w:hAnsi="仿宋" w:eastAsia="仿宋"/>
          <w:b w:val="0"/>
          <w:i w:val="0"/>
          <w:sz w:val="24"/>
        </w:rPr>
        <w:t>观察/淘汰级（底端）：质量问题频发、整改不力，占比约 10%，实施暂停</w:t>
      </w:r>
    </w:p>
    <w:p>
      <w:pPr>
        <w:spacing w:line="360" w:lineRule="auto" w:after="120"/>
        <w:ind w:firstLine="420"/>
      </w:pPr>
      <w:r>
        <w:rPr>
          <w:rFonts w:ascii="仿宋" w:hAnsi="仿宋" w:eastAsia="仿宋"/>
          <w:b w:val="0"/>
          <w:i w:val="0"/>
          <w:sz w:val="24"/>
        </w:rPr>
        <w:t>订单、限期整改，逾期未达标终止合作。</w:t>
      </w:r>
    </w:p>
    <w:p>
      <w:pPr>
        <w:spacing w:before="240" w:after="120" w:line="360" w:lineRule="auto"/>
      </w:pPr>
      <w:r>
        <w:rPr>
          <w:rFonts w:ascii="黑体" w:hAnsi="黑体" w:eastAsia="黑体"/>
          <w:b/>
          <w:i w:val="0"/>
          <w:sz w:val="28"/>
        </w:rPr>
        <w:t>3.3 过程质量管控：全链条监控，快速闭环</w:t>
      </w:r>
    </w:p>
    <w:p>
      <w:pPr>
        <w:spacing w:before="120" w:after="60" w:line="360" w:lineRule="auto"/>
      </w:pPr>
      <w:r>
        <w:rPr>
          <w:rFonts w:ascii="黑体" w:hAnsi="黑体" w:eastAsia="黑体"/>
          <w:b/>
          <w:i w:val="0"/>
          <w:sz w:val="24"/>
        </w:rPr>
        <w:t>3.3.1 研发阶段协同</w:t>
      </w:r>
    </w:p>
    <w:p>
      <w:pPr>
        <w:spacing w:line="360" w:lineRule="auto" w:after="120"/>
        <w:ind w:firstLine="420"/>
      </w:pPr>
      <w:r>
        <w:rPr>
          <w:rFonts w:ascii="仿宋" w:hAnsi="仿宋" w:eastAsia="仿宋"/>
          <w:b w:val="0"/>
          <w:i w:val="0"/>
          <w:sz w:val="24"/>
        </w:rPr>
        <w:t>1. 推行供应商早期参与（ESI），核心零部件供应商介入车型研发前期，联</w:t>
      </w:r>
    </w:p>
    <w:p>
      <w:pPr>
        <w:spacing w:line="360" w:lineRule="auto" w:after="120"/>
        <w:ind w:firstLine="420"/>
      </w:pPr>
      <w:r>
        <w:rPr>
          <w:rFonts w:ascii="仿宋" w:hAnsi="仿宋" w:eastAsia="仿宋"/>
          <w:b w:val="0"/>
          <w:i w:val="0"/>
          <w:sz w:val="24"/>
        </w:rPr>
        <w:t>合开展 DFMEA。据企业公开披露及前期整理资料显示，核心零部件供应商早期参与机制已在重点项目中逐步推进，具体覆盖口径待官方报告确认。</w:t>
      </w:r>
    </w:p>
    <w:p>
      <w:pPr>
        <w:spacing w:line="360" w:lineRule="auto" w:after="120"/>
        <w:ind w:firstLine="420"/>
      </w:pPr>
      <w:r>
        <w:rPr>
          <w:rFonts w:ascii="仿宋" w:hAnsi="仿宋" w:eastAsia="仿宋"/>
          <w:b w:val="0"/>
          <w:i w:val="0"/>
          <w:sz w:val="24"/>
        </w:rPr>
        <w:t>2. 明确特殊特性管控要求，对关键尺寸、性能参数实施重点监控，避免设计</w:t>
      </w:r>
    </w:p>
    <w:p>
      <w:pPr>
        <w:spacing w:line="360" w:lineRule="auto" w:after="120"/>
        <w:ind w:firstLine="420"/>
      </w:pPr>
      <w:r>
        <w:rPr>
          <w:rFonts w:ascii="仿宋" w:hAnsi="仿宋" w:eastAsia="仿宋"/>
          <w:b w:val="0"/>
          <w:i w:val="0"/>
          <w:sz w:val="24"/>
        </w:rPr>
        <w:t>缺陷。</w:t>
      </w:r>
    </w:p>
    <w:p>
      <w:pPr>
        <w:spacing w:before="120" w:after="60" w:line="360" w:lineRule="auto"/>
      </w:pPr>
      <w:r>
        <w:rPr>
          <w:rFonts w:ascii="黑体" w:hAnsi="黑体" w:eastAsia="黑体"/>
          <w:b/>
          <w:i w:val="0"/>
          <w:sz w:val="24"/>
        </w:rPr>
        <w:t>3.3.2 量产阶段管控</w:t>
      </w:r>
    </w:p>
    <w:p>
      <w:pPr>
        <w:spacing w:line="360" w:lineRule="auto" w:after="120"/>
        <w:ind w:firstLine="420"/>
      </w:pPr>
      <w:r>
        <w:rPr>
          <w:rFonts w:ascii="仿宋" w:hAnsi="仿宋" w:eastAsia="仿宋"/>
          <w:b w:val="0"/>
          <w:i w:val="0"/>
          <w:sz w:val="24"/>
        </w:rPr>
        <w:t>1. 数字化实时监控：搭建供应商协同平台，实时采集来料合格率、生产不良</w:t>
      </w:r>
    </w:p>
    <w:p>
      <w:pPr>
        <w:spacing w:line="360" w:lineRule="auto" w:after="120"/>
        <w:ind w:firstLine="420"/>
      </w:pPr>
      <w:r>
        <w:rPr>
          <w:rFonts w:ascii="仿宋" w:hAnsi="仿宋" w:eastAsia="仿宋"/>
          <w:b w:val="0"/>
          <w:i w:val="0"/>
          <w:sz w:val="24"/>
        </w:rPr>
        <w:t>率、交付准时率等数据。据企业公开披露及前期整理资料显示，核心供应商数据对接范围持续扩大，具体覆盖比例待官方报告确认。</w:t>
      </w:r>
    </w:p>
    <w:p>
      <w:pPr>
        <w:spacing w:line="360" w:lineRule="auto" w:after="120"/>
        <w:ind w:firstLine="420"/>
      </w:pPr>
      <w:r>
        <w:rPr>
          <w:rFonts w:ascii="仿宋" w:hAnsi="仿宋" w:eastAsia="仿宋"/>
          <w:b w:val="0"/>
          <w:i w:val="0"/>
          <w:sz w:val="24"/>
        </w:rPr>
        <w:t>2. 驻厂+飞检结合：对战略、优秀级供应商派驻质量专员，对合格及以下供</w:t>
      </w:r>
    </w:p>
    <w:p>
      <w:pPr>
        <w:spacing w:line="360" w:lineRule="auto" w:after="120"/>
        <w:ind w:firstLine="420"/>
      </w:pPr>
      <w:r>
        <w:rPr>
          <w:rFonts w:ascii="仿宋" w:hAnsi="仿宋" w:eastAsia="仿宋"/>
          <w:b w:val="0"/>
          <w:i w:val="0"/>
          <w:sz w:val="24"/>
        </w:rPr>
        <w:t>应商开展定期飞检。据企业公开披露及前期整理资料显示，供应商现场审核覆盖范围持续扩大，具体覆盖比例待官方报告确认。</w:t>
      </w:r>
    </w:p>
    <w:p>
      <w:pPr>
        <w:spacing w:line="360" w:lineRule="auto" w:after="120"/>
        <w:ind w:firstLine="420"/>
      </w:pPr>
      <w:r>
        <w:rPr>
          <w:rFonts w:ascii="仿宋" w:hAnsi="仿宋" w:eastAsia="仿宋"/>
          <w:b w:val="0"/>
          <w:i w:val="0"/>
          <w:sz w:val="24"/>
        </w:rPr>
        <w:t>3. 不良品快速处理：当来料不良品率或关键质量指标超过预设阈值时，系统触发预警，并要求供应商按规定时限提交 8D 整改报告、完成临时措施和初步整改。</w:t>
      </w:r>
    </w:p>
    <w:p>
      <w:pPr>
        <w:spacing w:before="120" w:after="60" w:line="360" w:lineRule="auto"/>
      </w:pPr>
      <w:r>
        <w:rPr>
          <w:rFonts w:ascii="黑体" w:hAnsi="黑体" w:eastAsia="黑体"/>
          <w:b/>
          <w:i w:val="0"/>
          <w:sz w:val="24"/>
        </w:rPr>
        <w:t>3.3.3 售后质量追溯</w:t>
      </w:r>
    </w:p>
    <w:p>
      <w:pPr>
        <w:spacing w:line="360" w:lineRule="auto" w:after="120"/>
        <w:ind w:firstLine="420"/>
      </w:pPr>
      <w:r>
        <w:rPr>
          <w:rFonts w:ascii="仿宋" w:hAnsi="仿宋" w:eastAsia="仿宋"/>
          <w:b w:val="0"/>
          <w:i w:val="0"/>
          <w:sz w:val="24"/>
        </w:rPr>
        <w:t>1. 建立全生命周期质量追溯体系，推动零部件从原材料到整车装配、售后环节实现过程追溯。据企业公开披露及前期整理资料显示，吉利已在部分场景探索区块链等追溯技术，以提升追溯效率和数据可信度，具体提升幅度待官方报告确认。</w:t>
      </w:r>
    </w:p>
    <w:p>
      <w:pPr>
        <w:spacing w:line="360" w:lineRule="auto" w:after="120"/>
        <w:ind w:firstLine="420"/>
      </w:pPr>
      <w:r>
        <w:rPr>
          <w:rFonts w:ascii="仿宋" w:hAnsi="仿宋" w:eastAsia="仿宋"/>
          <w:b w:val="0"/>
          <w:i w:val="0"/>
          <w:sz w:val="24"/>
        </w:rPr>
        <w:t>2. 售后质量问题闭环管理，客户反馈→问题分析→供应商整改→效果验证→</w:t>
      </w:r>
    </w:p>
    <w:p>
      <w:pPr>
        <w:spacing w:line="360" w:lineRule="auto" w:after="120"/>
        <w:ind w:firstLine="420"/>
      </w:pPr>
      <w:r>
        <w:rPr>
          <w:rFonts w:ascii="仿宋" w:hAnsi="仿宋" w:eastAsia="仿宋"/>
          <w:b w:val="0"/>
          <w:i w:val="0"/>
          <w:sz w:val="24"/>
        </w:rPr>
        <w:t>预防优化。据企业公开披露及前期整理资料显示，售后质量问题按期整改情况整体较好，具体比例待官方报告确认。</w:t>
      </w:r>
    </w:p>
    <w:p>
      <w:pPr>
        <w:spacing w:before="240" w:after="120" w:line="360" w:lineRule="auto"/>
      </w:pPr>
      <w:r>
        <w:rPr>
          <w:rFonts w:ascii="黑体" w:hAnsi="黑体" w:eastAsia="黑体"/>
          <w:b/>
          <w:i w:val="0"/>
          <w:sz w:val="28"/>
        </w:rPr>
        <w:t>3.4 质量改进与激励机制</w:t>
      </w:r>
    </w:p>
    <w:p>
      <w:pPr>
        <w:spacing w:line="360" w:lineRule="auto" w:after="120"/>
        <w:ind w:firstLine="420"/>
      </w:pPr>
      <w:r>
        <w:rPr>
          <w:rFonts w:ascii="仿宋" w:hAnsi="仿宋" w:eastAsia="仿宋"/>
          <w:b w:val="0"/>
          <w:i w:val="0"/>
          <w:sz w:val="24"/>
        </w:rPr>
        <w:t>1. 质量改进工具：推行 “3824 质量改善法”（3 个阶段、8 大步骤、24</w:t>
      </w:r>
    </w:p>
    <w:p>
      <w:pPr>
        <w:spacing w:line="360" w:lineRule="auto" w:after="120"/>
        <w:ind w:firstLine="420"/>
      </w:pPr>
      <w:r>
        <w:rPr>
          <w:rFonts w:ascii="仿宋" w:hAnsi="仿宋" w:eastAsia="仿宋"/>
          <w:b w:val="0"/>
          <w:i w:val="0"/>
          <w:sz w:val="24"/>
        </w:rPr>
        <w:t>个节点）、8D 报告、5Why 分析法，推动供应商质量持续改进。</w:t>
      </w:r>
    </w:p>
    <w:p>
      <w:pPr>
        <w:spacing w:line="360" w:lineRule="auto" w:after="120"/>
        <w:ind w:firstLine="420"/>
      </w:pPr>
      <w:r>
        <w:rPr>
          <w:rFonts w:ascii="仿宋" w:hAnsi="仿宋" w:eastAsia="仿宋"/>
          <w:b w:val="0"/>
          <w:i w:val="0"/>
          <w:sz w:val="24"/>
        </w:rPr>
        <w:t>2. 激励政策</w:t>
      </w:r>
    </w:p>
    <w:p>
      <w:pPr>
        <w:spacing w:line="360" w:lineRule="auto" w:after="120"/>
        <w:ind w:firstLine="420"/>
      </w:pPr>
      <w:r>
        <w:rPr>
          <w:rFonts w:ascii="仿宋" w:hAnsi="仿宋" w:eastAsia="仿宋"/>
          <w:b w:val="0"/>
          <w:i w:val="0"/>
          <w:sz w:val="24"/>
        </w:rPr>
        <w:t>（1）奖励：年度评选 “优秀供应商”，2025 年今飞凯达等供应商因 “全</w:t>
      </w:r>
    </w:p>
    <w:p>
      <w:pPr>
        <w:spacing w:line="360" w:lineRule="auto" w:after="120"/>
        <w:ind w:firstLine="420"/>
      </w:pPr>
      <w:r>
        <w:rPr>
          <w:rFonts w:ascii="仿宋" w:hAnsi="仿宋" w:eastAsia="仿宋"/>
          <w:b w:val="0"/>
          <w:i w:val="0"/>
          <w:sz w:val="24"/>
        </w:rPr>
        <w:t>年零故障保供” 获此荣誉，奖励包括订单倾斜、优先付款、联合研发优先权。</w:t>
      </w:r>
    </w:p>
    <w:p>
      <w:pPr>
        <w:spacing w:line="360" w:lineRule="auto" w:after="120"/>
        <w:ind w:firstLine="420"/>
      </w:pPr>
      <w:r>
        <w:rPr>
          <w:rFonts w:ascii="仿宋" w:hAnsi="仿宋" w:eastAsia="仿宋"/>
          <w:b w:val="0"/>
          <w:i w:val="0"/>
          <w:sz w:val="24"/>
        </w:rPr>
        <w:t>（2）帮扶：对潜力供应商提供质量培训、技术支持。据企业公开披露及前期整理资料显示，供应商质量培训已覆盖多个关键岗位，具体培训时长和覆盖比例待官方报告确认。</w:t>
      </w:r>
    </w:p>
    <w:p>
      <w:pPr>
        <w:spacing w:line="360" w:lineRule="auto" w:after="120"/>
        <w:ind w:firstLine="420"/>
      </w:pPr>
      <w:r>
        <w:rPr>
          <w:rFonts w:ascii="仿宋" w:hAnsi="仿宋" w:eastAsia="仿宋"/>
          <w:b w:val="0"/>
          <w:i w:val="0"/>
          <w:sz w:val="24"/>
        </w:rPr>
        <w:t>（3）惩戒：对质量问题频发的供应商采取警告、罚款、缩减订单等措施，严重者终止合作。据企业公开披露及前期整理资料显示，吉利持续推进不合格供应商退出机制，具体淘汰数量待官方报告确认。</w:t>
      </w:r>
    </w:p>
    <w:p>
      <w:pPr>
        <w:spacing w:before="240" w:after="120" w:line="360" w:lineRule="auto"/>
      </w:pPr>
      <w:r>
        <w:rPr>
          <w:rFonts w:ascii="黑体" w:hAnsi="黑体" w:eastAsia="黑体"/>
          <w:b/>
          <w:i w:val="0"/>
          <w:sz w:val="28"/>
        </w:rPr>
        <w:t>3.5 数字化与绿色质量管控</w:t>
      </w:r>
    </w:p>
    <w:p>
      <w:pPr>
        <w:spacing w:line="360" w:lineRule="auto" w:after="120"/>
        <w:ind w:firstLine="420"/>
      </w:pPr>
      <w:r>
        <w:rPr>
          <w:rFonts w:ascii="仿宋" w:hAnsi="仿宋" w:eastAsia="仿宋"/>
          <w:b w:val="0"/>
          <w:i w:val="0"/>
          <w:sz w:val="24"/>
        </w:rPr>
        <w:t>面对智能制造与碳中和的双重转型趋势，吉利将数字化与绿色化深度融入供</w:t>
      </w:r>
    </w:p>
    <w:p>
      <w:pPr>
        <w:spacing w:line="360" w:lineRule="auto" w:after="120"/>
        <w:ind w:firstLine="420"/>
      </w:pPr>
      <w:r>
        <w:rPr>
          <w:rFonts w:ascii="仿宋" w:hAnsi="仿宋" w:eastAsia="仿宋"/>
          <w:b w:val="0"/>
          <w:i w:val="0"/>
          <w:sz w:val="24"/>
        </w:rPr>
        <w:t>应商质量管理中。</w:t>
      </w:r>
    </w:p>
    <w:p>
      <w:pPr>
        <w:spacing w:line="360" w:lineRule="auto" w:after="120"/>
        <w:ind w:firstLine="420"/>
      </w:pPr>
      <w:r>
        <w:rPr>
          <w:rFonts w:ascii="仿宋" w:hAnsi="仿宋" w:eastAsia="仿宋"/>
          <w:b w:val="0"/>
          <w:i w:val="0"/>
          <w:sz w:val="24"/>
        </w:rPr>
        <w:t>1. 数字化工具</w:t>
      </w:r>
    </w:p>
    <w:p>
      <w:pPr>
        <w:spacing w:line="360" w:lineRule="auto" w:after="120"/>
        <w:ind w:firstLine="420"/>
      </w:pPr>
      <w:r>
        <w:rPr>
          <w:rFonts w:ascii="仿宋" w:hAnsi="仿宋" w:eastAsia="仿宋"/>
          <w:b w:val="0"/>
          <w:i w:val="0"/>
          <w:sz w:val="24"/>
        </w:rPr>
        <w:t>（1）供应商质量大数据平台：整合质量、交付、成本数据，利用数据分析和智能预警识别供应链质量风险。据企业公开披露及前期整理资料显示，相关预警能力持续提升，具体准确率待官方报告确认。</w:t>
      </w:r>
    </w:p>
    <w:p>
      <w:pPr>
        <w:spacing w:line="360" w:lineRule="auto" w:after="120"/>
        <w:ind w:firstLine="420"/>
      </w:pPr>
      <w:r>
        <w:rPr>
          <w:rFonts w:ascii="仿宋" w:hAnsi="仿宋" w:eastAsia="仿宋"/>
          <w:b w:val="0"/>
          <w:i w:val="0"/>
          <w:sz w:val="24"/>
        </w:rPr>
        <w:t>（2）智能制造协同：推动供应商建设智能化车间，探索AI质检、在线检测和过程数据采集等方式，提升生产过程中的质量识别和异常预警能力。</w:t>
      </w:r>
    </w:p>
    <w:p>
      <w:pPr>
        <w:spacing w:line="360" w:lineRule="auto" w:after="120"/>
        <w:ind w:firstLine="420"/>
      </w:pPr>
      <w:r>
        <w:rPr>
          <w:rFonts w:ascii="仿宋" w:hAnsi="仿宋" w:eastAsia="仿宋"/>
          <w:b w:val="0"/>
          <w:i w:val="0"/>
          <w:sz w:val="24"/>
        </w:rPr>
        <w:t>2. 绿色供应链质量管理（2024-2025 核心数据）</w:t>
      </w:r>
    </w:p>
    <w:p>
      <w:pPr>
        <w:spacing w:line="360" w:lineRule="auto" w:after="120"/>
        <w:ind w:firstLine="420"/>
      </w:pPr>
      <w:r>
        <w:rPr>
          <w:rFonts w:ascii="仿宋" w:hAnsi="仿宋" w:eastAsia="仿宋"/>
          <w:b w:val="0"/>
          <w:i w:val="0"/>
          <w:sz w:val="24"/>
        </w:rPr>
        <w:t>（1）推动核心供应商提升绿电使用比例，具体比例待官方报告确认。</w:t>
      </w:r>
    </w:p>
    <w:p>
      <w:pPr>
        <w:spacing w:line="360" w:lineRule="auto" w:after="120"/>
        <w:ind w:firstLine="420"/>
      </w:pPr>
      <w:r>
        <w:rPr>
          <w:rFonts w:ascii="仿宋" w:hAnsi="仿宋" w:eastAsia="仿宋"/>
          <w:b w:val="0"/>
          <w:i w:val="0"/>
          <w:sz w:val="24"/>
        </w:rPr>
        <w:t>（2）推动零部件提高循环钢、循环铝、循环塑料等再生材料使用比例，并持续降低供应链碳排放，具体比例和减排数据待官方报告确认。</w:t>
      </w:r>
    </w:p>
    <w:p>
      <w:pPr>
        <w:spacing w:line="360" w:lineRule="auto" w:after="120"/>
        <w:ind w:firstLine="420"/>
      </w:pPr>
      <w:r>
        <w:rPr>
          <w:rFonts w:ascii="仿宋" w:hAnsi="仿宋" w:eastAsia="仿宋"/>
          <w:b w:val="0"/>
          <w:i w:val="0"/>
          <w:sz w:val="24"/>
        </w:rPr>
        <w:t>（3）推动高风险供应商开展可持续尽职调查，并引导供应商签署绿色行为准则，具体覆盖比例待官方报告确认。</w:t>
      </w:r>
    </w:p>
    <w:p>
      <w:pPr>
        <w:spacing w:before="360" w:after="240" w:line="360" w:lineRule="auto"/>
        <w:jc w:val="center"/>
      </w:pPr>
      <w:r>
        <w:rPr>
          <w:rFonts w:ascii="黑体" w:hAnsi="黑体" w:eastAsia="黑体"/>
          <w:b/>
          <w:i w:val="0"/>
          <w:sz w:val="32"/>
        </w:rPr>
        <w:t>4 吉利汽车供应商质量绩效与成效（2024-2025年）</w:t>
      </w:r>
    </w:p>
    <w:p>
      <w:pPr>
        <w:spacing w:line="360" w:lineRule="auto" w:after="120"/>
        <w:ind w:firstLine="420"/>
      </w:pPr>
      <w:r>
        <w:rPr>
          <w:rFonts w:ascii="仿宋" w:hAnsi="仿宋" w:eastAsia="仿宋"/>
          <w:b w:val="0"/>
          <w:i w:val="0"/>
          <w:sz w:val="24"/>
        </w:rPr>
        <w:t>供应商质量管理绩效不能仅通过整车销量、品牌排名或用户满意度进行判断。销量增长、市场份额提升和行业奖项受产品定位、价格策略、渠道能力、品牌传播、宏观市场环境等多重因素影响，不能直接归因于供应商质量管理。因此，本章将质量绩效指标划分为三类：第一类为供应商直接质量绩效指标，主要反映供应商交付质量、过程稳定性和整改闭环能力；第二类为整车质量间接关联指标，用于观察供应商质量管理对整车可靠性和安全表现的可能支撑作用；第三类为企业经营与市场背景指标，仅用于说明质量管理体系对企业增长的基础性支撑，不能作为因果证明。</w:t>
      </w:r>
    </w:p>
    <w:p>
      <w:pPr>
        <w:spacing w:before="240" w:after="120" w:line="360" w:lineRule="auto"/>
      </w:pPr>
      <w:r>
        <w:rPr>
          <w:rFonts w:ascii="黑体" w:hAnsi="黑体" w:eastAsia="黑体"/>
          <w:b/>
          <w:i w:val="0"/>
          <w:sz w:val="28"/>
        </w:rPr>
        <w:t>4.1 供应商直接质量绩效指标</w:t>
      </w:r>
    </w:p>
    <w:p>
      <w:pPr>
        <w:spacing w:line="360" w:lineRule="auto" w:after="120"/>
        <w:ind w:firstLine="420"/>
      </w:pPr>
      <w:r>
        <w:rPr>
          <w:rFonts w:ascii="仿宋" w:hAnsi="仿宋" w:eastAsia="仿宋"/>
          <w:b w:val="0"/>
          <w:i w:val="0"/>
          <w:sz w:val="24"/>
        </w:rPr>
        <w:t>供应商直接质量绩效指标是评价供应商质量管理体系有效性的核心依据，主要包括来料批次合格率、核心零部件不良品率（PPM）、质量问题整改及时率、8D报告闭环率和合格供应商占比。上述指标能够直接反映供应商准入、过程控制、来料检验、异常整改和动态评价等管理环节的运行情况。</w:t>
      </w:r>
    </w:p>
    <w:p>
      <w:pPr>
        <w:spacing w:line="360" w:lineRule="auto" w:after="120"/>
        <w:ind w:firstLine="420"/>
      </w:pPr>
      <w:r>
        <w:rPr>
          <w:rFonts w:ascii="仿宋" w:hAnsi="仿宋" w:eastAsia="仿宋"/>
          <w:b w:val="0"/>
          <w:i w:val="0"/>
          <w:sz w:val="24"/>
        </w:rPr>
        <w:t>需要说明的是，以下部分指标来自公开材料整理或课程报告前期调研口径，部分数据尚未在公开渠道中找到完全可核验的原始出处。因此，在正式提交版本中，应对每项数据补充来源、页码或链接；无法核验的数据应改为定性表述，或注明为“据公司内部质量管理体系数据显示”。</w:t>
      </w:r>
    </w:p>
    <w:p>
      <w:pPr>
        <w:jc w:val="center"/>
      </w:pPr>
      <w:r>
        <w:rPr>
          <w:rFonts w:ascii="黑体" w:hAnsi="黑体" w:eastAsia="黑体"/>
          <w:b/>
          <w:i w:val="0"/>
          <w:sz w:val="21"/>
        </w:rPr>
        <w:t>表1</w:t>
      </w:r>
    </w:p>
    <w:tbl>
      <w:tblPr>
        <w:tblStyle w:val="TableGrid"/>
        <w:tblW w:type="auto" w:w="0"/>
        <w:tblLook w:firstColumn="1" w:firstRow="1" w:lastColumn="0" w:lastRow="0" w:noHBand="0" w:noVBand="1" w:val="04A0"/>
      </w:tblPr>
      <w:tblGrid>
        <w:gridCol w:w="1441"/>
        <w:gridCol w:w="1441"/>
        <w:gridCol w:w="1441"/>
        <w:gridCol w:w="1441"/>
        <w:gridCol w:w="1441"/>
        <w:gridCol w:w="1441"/>
      </w:tblGrid>
      <w:tr>
        <w:tc>
          <w:tcPr>
            <w:tcW w:type="dxa" w:w="1441"/>
          </w:tcPr>
          <w:p>
            <w:r>
              <w:rPr>
                <w:rFonts w:ascii="黑体" w:hAnsi="黑体" w:eastAsia="黑体"/>
                <w:b/>
                <w:i w:val="0"/>
                <w:sz w:val="21"/>
              </w:rPr>
              <w:t>指标</w:t>
            </w:r>
          </w:p>
        </w:tc>
        <w:tc>
          <w:tcPr>
            <w:tcW w:type="dxa" w:w="1441"/>
          </w:tcPr>
          <w:p>
            <w:r>
              <w:rPr>
                <w:rFonts w:ascii="黑体" w:hAnsi="黑体" w:eastAsia="黑体"/>
                <w:b/>
                <w:i w:val="0"/>
                <w:sz w:val="21"/>
              </w:rPr>
              <w:t>指标定义与计算口径</w:t>
            </w:r>
          </w:p>
        </w:tc>
        <w:tc>
          <w:tcPr>
            <w:tcW w:type="dxa" w:w="1441"/>
          </w:tcPr>
          <w:p>
            <w:r>
              <w:rPr>
                <w:rFonts w:ascii="黑体" w:hAnsi="黑体" w:eastAsia="黑体"/>
                <w:b/>
                <w:i w:val="0"/>
                <w:sz w:val="21"/>
              </w:rPr>
              <w:t>2024年表现</w:t>
            </w:r>
          </w:p>
        </w:tc>
        <w:tc>
          <w:tcPr>
            <w:tcW w:type="dxa" w:w="1441"/>
          </w:tcPr>
          <w:p>
            <w:r>
              <w:rPr>
                <w:rFonts w:ascii="黑体" w:hAnsi="黑体" w:eastAsia="黑体"/>
                <w:b/>
                <w:i w:val="0"/>
                <w:sz w:val="21"/>
              </w:rPr>
              <w:t>2025年上半年/中期表现</w:t>
            </w:r>
          </w:p>
        </w:tc>
        <w:tc>
          <w:tcPr>
            <w:tcW w:type="dxa" w:w="1441"/>
          </w:tcPr>
          <w:p>
            <w:r>
              <w:rPr>
                <w:rFonts w:ascii="黑体" w:hAnsi="黑体" w:eastAsia="黑体"/>
                <w:b/>
                <w:i w:val="0"/>
                <w:sz w:val="21"/>
              </w:rPr>
              <w:t>数据处理</w:t>
            </w:r>
          </w:p>
        </w:tc>
        <w:tc>
          <w:tcPr>
            <w:tcW w:type="dxa" w:w="1441"/>
          </w:tcPr>
          <w:p>
            <w:r>
              <w:rPr>
                <w:rFonts w:ascii="黑体" w:hAnsi="黑体" w:eastAsia="黑体"/>
                <w:b/>
                <w:i w:val="0"/>
                <w:sz w:val="21"/>
              </w:rPr>
              <w:t>管理含义</w:t>
            </w:r>
          </w:p>
        </w:tc>
      </w:tr>
      <w:tr>
        <w:tc>
          <w:tcPr>
            <w:tcW w:type="dxa" w:w="1441"/>
          </w:tcPr>
          <w:p>
            <w:r>
              <w:rPr>
                <w:rFonts w:ascii="仿宋" w:hAnsi="仿宋" w:eastAsia="仿宋"/>
                <w:b w:val="0"/>
                <w:i w:val="0"/>
                <w:sz w:val="21"/>
              </w:rPr>
              <w:t>来料批次合格率</w:t>
            </w:r>
          </w:p>
        </w:tc>
        <w:tc>
          <w:tcPr>
            <w:tcW w:type="dxa" w:w="1441"/>
          </w:tcPr>
          <w:p>
            <w:r>
              <w:rPr>
                <w:rFonts w:ascii="仿宋" w:hAnsi="仿宋" w:eastAsia="仿宋"/>
                <w:b w:val="0"/>
                <w:i w:val="0"/>
                <w:sz w:val="21"/>
              </w:rPr>
              <w:t>合格来料批次数 / 总来料批次数，用于衡量供应商交付批次质量稳定性</w:t>
            </w:r>
          </w:p>
        </w:tc>
        <w:tc>
          <w:tcPr>
            <w:tcW w:type="dxa" w:w="1441"/>
          </w:tcPr>
          <w:p>
            <w:r>
              <w:rPr>
                <w:rFonts w:ascii="仿宋" w:hAnsi="仿宋" w:eastAsia="仿宋"/>
                <w:b w:val="0"/>
                <w:i w:val="0"/>
                <w:sz w:val="21"/>
              </w:rPr>
              <w:t>保持较高水平</w:t>
            </w:r>
          </w:p>
        </w:tc>
        <w:tc>
          <w:tcPr>
            <w:tcW w:type="dxa" w:w="1441"/>
          </w:tcPr>
          <w:p>
            <w:r>
              <w:rPr>
                <w:rFonts w:ascii="仿宋" w:hAnsi="仿宋" w:eastAsia="仿宋"/>
                <w:b w:val="0"/>
                <w:i w:val="0"/>
                <w:sz w:val="21"/>
              </w:rPr>
              <w:t>保持较高水平</w:t>
            </w:r>
          </w:p>
        </w:tc>
        <w:tc>
          <w:tcPr>
            <w:tcW w:type="dxa" w:w="1441"/>
          </w:tcPr>
          <w:p>
            <w:r>
              <w:rPr>
                <w:rFonts w:ascii="仿宋" w:hAnsi="仿宋" w:eastAsia="仿宋"/>
                <w:b w:val="0"/>
                <w:i w:val="0"/>
                <w:sz w:val="21"/>
              </w:rPr>
              <w:t>具体数值暂不列示</w:t>
            </w:r>
          </w:p>
        </w:tc>
        <w:tc>
          <w:tcPr>
            <w:tcW w:type="dxa" w:w="1441"/>
          </w:tcPr>
          <w:p>
            <w:r>
              <w:rPr>
                <w:rFonts w:ascii="仿宋" w:hAnsi="仿宋" w:eastAsia="仿宋"/>
                <w:b w:val="0"/>
                <w:i w:val="0"/>
                <w:sz w:val="21"/>
              </w:rPr>
              <w:t>说明供应商准入、过程检验和来料质量控制维持在较稳定状态</w:t>
            </w:r>
          </w:p>
        </w:tc>
      </w:tr>
      <w:tr>
        <w:tc>
          <w:tcPr>
            <w:tcW w:type="dxa" w:w="1441"/>
          </w:tcPr>
          <w:p>
            <w:r>
              <w:rPr>
                <w:rFonts w:ascii="仿宋" w:hAnsi="仿宋" w:eastAsia="仿宋"/>
                <w:b w:val="0"/>
                <w:i w:val="0"/>
                <w:sz w:val="21"/>
              </w:rPr>
              <w:t>核心零部件不良品率（PPM）</w:t>
            </w:r>
          </w:p>
        </w:tc>
        <w:tc>
          <w:tcPr>
            <w:tcW w:type="dxa" w:w="1441"/>
          </w:tcPr>
          <w:p>
            <w:r>
              <w:rPr>
                <w:rFonts w:ascii="仿宋" w:hAnsi="仿宋" w:eastAsia="仿宋"/>
                <w:b w:val="0"/>
                <w:i w:val="0"/>
                <w:sz w:val="21"/>
              </w:rPr>
              <w:t>每百万件核心零部件中的不良品数量，用于衡量关键零部件质量水平</w:t>
            </w:r>
          </w:p>
        </w:tc>
        <w:tc>
          <w:tcPr>
            <w:tcW w:type="dxa" w:w="1441"/>
          </w:tcPr>
          <w:p>
            <w:r>
              <w:rPr>
                <w:rFonts w:ascii="仿宋" w:hAnsi="仿宋" w:eastAsia="仿宋"/>
                <w:b w:val="0"/>
                <w:i w:val="0"/>
                <w:sz w:val="21"/>
              </w:rPr>
              <w:t>处于持续监控状态</w:t>
            </w:r>
          </w:p>
        </w:tc>
        <w:tc>
          <w:tcPr>
            <w:tcW w:type="dxa" w:w="1441"/>
          </w:tcPr>
          <w:p>
            <w:r>
              <w:rPr>
                <w:rFonts w:ascii="仿宋" w:hAnsi="仿宋" w:eastAsia="仿宋"/>
                <w:b w:val="0"/>
                <w:i w:val="0"/>
                <w:sz w:val="21"/>
              </w:rPr>
              <w:t>较上年有所下降</w:t>
            </w:r>
          </w:p>
        </w:tc>
        <w:tc>
          <w:tcPr>
            <w:tcW w:type="dxa" w:w="1441"/>
          </w:tcPr>
          <w:p>
            <w:r>
              <w:rPr>
                <w:rFonts w:ascii="仿宋" w:hAnsi="仿宋" w:eastAsia="仿宋"/>
                <w:b w:val="0"/>
                <w:i w:val="0"/>
                <w:sz w:val="21"/>
              </w:rPr>
              <w:t>具体数值暂不列示</w:t>
            </w:r>
          </w:p>
        </w:tc>
        <w:tc>
          <w:tcPr>
            <w:tcW w:type="dxa" w:w="1441"/>
          </w:tcPr>
          <w:p>
            <w:r>
              <w:rPr>
                <w:rFonts w:ascii="仿宋" w:hAnsi="仿宋" w:eastAsia="仿宋"/>
                <w:b w:val="0"/>
                <w:i w:val="0"/>
                <w:sz w:val="21"/>
              </w:rPr>
              <w:t>说明核心零部件制造过程稳定性和异常预防能力可能有所改善</w:t>
            </w:r>
          </w:p>
        </w:tc>
      </w:tr>
      <w:tr>
        <w:tc>
          <w:tcPr>
            <w:tcW w:type="dxa" w:w="1441"/>
          </w:tcPr>
          <w:p>
            <w:r>
              <w:rPr>
                <w:rFonts w:ascii="仿宋" w:hAnsi="仿宋" w:eastAsia="仿宋"/>
                <w:b w:val="0"/>
                <w:i w:val="0"/>
                <w:sz w:val="21"/>
              </w:rPr>
              <w:t>质量问题整改及时率</w:t>
            </w:r>
          </w:p>
        </w:tc>
        <w:tc>
          <w:tcPr>
            <w:tcW w:type="dxa" w:w="1441"/>
          </w:tcPr>
          <w:p>
            <w:r>
              <w:rPr>
                <w:rFonts w:ascii="仿宋" w:hAnsi="仿宋" w:eastAsia="仿宋"/>
                <w:b w:val="0"/>
                <w:i w:val="0"/>
                <w:sz w:val="21"/>
              </w:rPr>
              <w:t>按规定时限完成整改的问题数量 / 应整改问题总数</w:t>
            </w:r>
          </w:p>
        </w:tc>
        <w:tc>
          <w:tcPr>
            <w:tcW w:type="dxa" w:w="1441"/>
          </w:tcPr>
          <w:p>
            <w:r>
              <w:rPr>
                <w:rFonts w:ascii="仿宋" w:hAnsi="仿宋" w:eastAsia="仿宋"/>
                <w:b w:val="0"/>
                <w:i w:val="0"/>
                <w:sz w:val="21"/>
              </w:rPr>
              <w:t>整体较高</w:t>
            </w:r>
          </w:p>
        </w:tc>
        <w:tc>
          <w:tcPr>
            <w:tcW w:type="dxa" w:w="1441"/>
          </w:tcPr>
          <w:p>
            <w:r>
              <w:rPr>
                <w:rFonts w:ascii="仿宋" w:hAnsi="仿宋" w:eastAsia="仿宋"/>
                <w:b w:val="0"/>
                <w:i w:val="0"/>
                <w:sz w:val="21"/>
              </w:rPr>
              <w:t>较上年有所提升</w:t>
            </w:r>
          </w:p>
        </w:tc>
        <w:tc>
          <w:tcPr>
            <w:tcW w:type="dxa" w:w="1441"/>
          </w:tcPr>
          <w:p>
            <w:r>
              <w:rPr>
                <w:rFonts w:ascii="仿宋" w:hAnsi="仿宋" w:eastAsia="仿宋"/>
                <w:b w:val="0"/>
                <w:i w:val="0"/>
                <w:sz w:val="21"/>
              </w:rPr>
              <w:t>具体数值暂不列示</w:t>
            </w:r>
          </w:p>
        </w:tc>
        <w:tc>
          <w:tcPr>
            <w:tcW w:type="dxa" w:w="1441"/>
          </w:tcPr>
          <w:p>
            <w:r>
              <w:rPr>
                <w:rFonts w:ascii="仿宋" w:hAnsi="仿宋" w:eastAsia="仿宋"/>
                <w:b w:val="0"/>
                <w:i w:val="0"/>
                <w:sz w:val="21"/>
              </w:rPr>
              <w:t>说明供应商质量问题响应速度和整改执行力可能改善</w:t>
            </w:r>
          </w:p>
        </w:tc>
      </w:tr>
      <w:tr>
        <w:tc>
          <w:tcPr>
            <w:tcW w:type="dxa" w:w="1441"/>
          </w:tcPr>
          <w:p>
            <w:r>
              <w:rPr>
                <w:rFonts w:ascii="仿宋" w:hAnsi="仿宋" w:eastAsia="仿宋"/>
                <w:b w:val="0"/>
                <w:i w:val="0"/>
                <w:sz w:val="21"/>
              </w:rPr>
              <w:t>8D报告闭环率</w:t>
            </w:r>
          </w:p>
        </w:tc>
        <w:tc>
          <w:tcPr>
            <w:tcW w:type="dxa" w:w="1441"/>
          </w:tcPr>
          <w:p>
            <w:r>
              <w:rPr>
                <w:rFonts w:ascii="仿宋" w:hAnsi="仿宋" w:eastAsia="仿宋"/>
                <w:b w:val="0"/>
                <w:i w:val="0"/>
                <w:sz w:val="21"/>
              </w:rPr>
              <w:t>已完成验证并关闭的8D报告数量 / 应关闭8D报告总数</w:t>
            </w:r>
          </w:p>
        </w:tc>
        <w:tc>
          <w:tcPr>
            <w:tcW w:type="dxa" w:w="1441"/>
          </w:tcPr>
          <w:p>
            <w:r>
              <w:rPr>
                <w:rFonts w:ascii="仿宋" w:hAnsi="仿宋" w:eastAsia="仿宋"/>
                <w:b w:val="0"/>
                <w:i w:val="0"/>
                <w:sz w:val="21"/>
              </w:rPr>
              <w:t>整体较高</w:t>
            </w:r>
          </w:p>
        </w:tc>
        <w:tc>
          <w:tcPr>
            <w:tcW w:type="dxa" w:w="1441"/>
          </w:tcPr>
          <w:p>
            <w:r>
              <w:rPr>
                <w:rFonts w:ascii="仿宋" w:hAnsi="仿宋" w:eastAsia="仿宋"/>
                <w:b w:val="0"/>
                <w:i w:val="0"/>
                <w:sz w:val="21"/>
              </w:rPr>
              <w:t>较上年有所提升</w:t>
            </w:r>
          </w:p>
        </w:tc>
        <w:tc>
          <w:tcPr>
            <w:tcW w:type="dxa" w:w="1441"/>
          </w:tcPr>
          <w:p>
            <w:r>
              <w:rPr>
                <w:rFonts w:ascii="仿宋" w:hAnsi="仿宋" w:eastAsia="仿宋"/>
                <w:b w:val="0"/>
                <w:i w:val="0"/>
                <w:sz w:val="21"/>
              </w:rPr>
              <w:t>具体数值暂不列示</w:t>
            </w:r>
          </w:p>
        </w:tc>
        <w:tc>
          <w:tcPr>
            <w:tcW w:type="dxa" w:w="1441"/>
          </w:tcPr>
          <w:p>
            <w:r>
              <w:rPr>
                <w:rFonts w:ascii="仿宋" w:hAnsi="仿宋" w:eastAsia="仿宋"/>
                <w:b w:val="0"/>
                <w:i w:val="0"/>
                <w:sz w:val="21"/>
              </w:rPr>
              <w:t>说明异常处理流程更趋规范，但仍需结合重复发生率判断整改有效性</w:t>
            </w:r>
          </w:p>
        </w:tc>
      </w:tr>
      <w:tr>
        <w:tc>
          <w:tcPr>
            <w:tcW w:type="dxa" w:w="1441"/>
          </w:tcPr>
          <w:p>
            <w:r>
              <w:rPr>
                <w:rFonts w:ascii="仿宋" w:hAnsi="仿宋" w:eastAsia="仿宋"/>
                <w:b w:val="0"/>
                <w:i w:val="0"/>
                <w:sz w:val="21"/>
              </w:rPr>
              <w:t>合格供应商占比</w:t>
            </w:r>
          </w:p>
        </w:tc>
        <w:tc>
          <w:tcPr>
            <w:tcW w:type="dxa" w:w="1441"/>
          </w:tcPr>
          <w:p>
            <w:r>
              <w:rPr>
                <w:rFonts w:ascii="仿宋" w:hAnsi="仿宋" w:eastAsia="仿宋"/>
                <w:b w:val="0"/>
                <w:i w:val="0"/>
                <w:sz w:val="21"/>
              </w:rPr>
              <w:t>通过季度或年度绩效评价并维持合格以上等级的供应商数量 / 评价供应商总数</w:t>
            </w:r>
          </w:p>
        </w:tc>
        <w:tc>
          <w:tcPr>
            <w:tcW w:type="dxa" w:w="1441"/>
          </w:tcPr>
          <w:p>
            <w:r>
              <w:rPr>
                <w:rFonts w:ascii="仿宋" w:hAnsi="仿宋" w:eastAsia="仿宋"/>
                <w:b w:val="0"/>
                <w:i w:val="0"/>
                <w:sz w:val="21"/>
              </w:rPr>
              <w:t>维持较高水平</w:t>
            </w:r>
          </w:p>
        </w:tc>
        <w:tc>
          <w:tcPr>
            <w:tcW w:type="dxa" w:w="1441"/>
          </w:tcPr>
          <w:p>
            <w:r>
              <w:rPr>
                <w:rFonts w:ascii="仿宋" w:hAnsi="仿宋" w:eastAsia="仿宋"/>
                <w:b w:val="0"/>
                <w:i w:val="0"/>
                <w:sz w:val="21"/>
              </w:rPr>
              <w:t>维持较高水平</w:t>
            </w:r>
          </w:p>
        </w:tc>
        <w:tc>
          <w:tcPr>
            <w:tcW w:type="dxa" w:w="1441"/>
          </w:tcPr>
          <w:p>
            <w:r>
              <w:rPr>
                <w:rFonts w:ascii="仿宋" w:hAnsi="仿宋" w:eastAsia="仿宋"/>
                <w:b w:val="0"/>
                <w:i w:val="0"/>
                <w:sz w:val="21"/>
              </w:rPr>
              <w:t>具体数值暂不列示</w:t>
            </w:r>
          </w:p>
        </w:tc>
        <w:tc>
          <w:tcPr>
            <w:tcW w:type="dxa" w:w="1441"/>
          </w:tcPr>
          <w:p>
            <w:r>
              <w:rPr>
                <w:rFonts w:ascii="仿宋" w:hAnsi="仿宋" w:eastAsia="仿宋"/>
                <w:b w:val="0"/>
                <w:i w:val="0"/>
                <w:sz w:val="21"/>
              </w:rPr>
              <w:t>说明动态评级和供应商改善机制可能发挥作用</w:t>
            </w:r>
          </w:p>
        </w:tc>
      </w:tr>
    </w:tbl>
    <w:p/>
    <w:p>
      <w:pPr>
        <w:spacing w:before="120" w:after="60" w:line="360" w:lineRule="auto"/>
      </w:pPr>
      <w:r>
        <w:rPr>
          <w:rFonts w:ascii="黑体" w:hAnsi="黑体" w:eastAsia="黑体"/>
          <w:b/>
          <w:i w:val="0"/>
          <w:sz w:val="24"/>
        </w:rPr>
        <w:t>4.1.1 来料批次合格率</w:t>
      </w:r>
    </w:p>
    <w:p>
      <w:pPr>
        <w:spacing w:line="360" w:lineRule="auto" w:after="120"/>
        <w:ind w:firstLine="420"/>
      </w:pPr>
      <w:r>
        <w:rPr>
          <w:rFonts w:ascii="仿宋" w:hAnsi="仿宋" w:eastAsia="仿宋"/>
          <w:b w:val="0"/>
          <w:i w:val="0"/>
          <w:sz w:val="24"/>
        </w:rPr>
        <w:t>来料批次合格率是衡量供应商交付质量稳定性的基础指标。该指标通常以批次为单位计算，反映供应商交付产品在入厂检验环节是否满足质量要求。与单件不良率相比，批次合格率更适合观察供应商交付稳定性和批量质量波动。</w:t>
      </w:r>
    </w:p>
    <w:p>
      <w:pPr>
        <w:spacing w:line="360" w:lineRule="auto" w:after="120"/>
        <w:ind w:firstLine="420"/>
      </w:pPr>
      <w:r>
        <w:rPr>
          <w:rFonts w:ascii="仿宋" w:hAnsi="仿宋" w:eastAsia="仿宋"/>
          <w:b w:val="0"/>
          <w:i w:val="0"/>
          <w:sz w:val="24"/>
        </w:rPr>
        <w:t>从前期整理情况看，吉利汽车供应商来料批次合格率保持在较高水平。由于公开渠道尚未披露完整统计口径，正式版本不再列示具体百分比。其管理含义在于：供应商准入审核、量产过程控制、入厂检验标准和异常反馈机制可能共同发挥作用，使来料批次质量总体保持稳定。</w:t>
      </w:r>
    </w:p>
    <w:p>
      <w:pPr>
        <w:spacing w:line="360" w:lineRule="auto" w:after="120"/>
        <w:ind w:firstLine="420"/>
      </w:pPr>
      <w:r>
        <w:rPr>
          <w:rFonts w:ascii="仿宋" w:hAnsi="仿宋" w:eastAsia="仿宋"/>
          <w:b w:val="0"/>
          <w:i w:val="0"/>
          <w:sz w:val="24"/>
        </w:rPr>
        <w:t>但该指标仍存在两个解释限制。第一，批次合格率较高并不意味着不存在关键零部件风险，因为少数安全关键件的不合格可能造成较大后果。第二，该指标只能反映入厂检验结果，难以覆盖长期使用后才暴露的可靠性问题。因此，在新能源三电零部件等领域，还需结合PPM、售后故障率、召回数据和长期可靠性验证结果进行综合判断。</w:t>
      </w:r>
    </w:p>
    <w:p>
      <w:pPr>
        <w:spacing w:before="120" w:after="60" w:line="360" w:lineRule="auto"/>
      </w:pPr>
      <w:r>
        <w:rPr>
          <w:rFonts w:ascii="黑体" w:hAnsi="黑体" w:eastAsia="黑体"/>
          <w:b/>
          <w:i w:val="0"/>
          <w:sz w:val="24"/>
        </w:rPr>
        <w:t>4.1.2 核心零部件不良品率（PPM）</w:t>
      </w:r>
    </w:p>
    <w:p>
      <w:pPr>
        <w:spacing w:line="360" w:lineRule="auto" w:after="120"/>
        <w:ind w:firstLine="420"/>
      </w:pPr>
      <w:r>
        <w:rPr>
          <w:rFonts w:ascii="仿宋" w:hAnsi="仿宋" w:eastAsia="仿宋"/>
          <w:b w:val="0"/>
          <w:i w:val="0"/>
          <w:sz w:val="24"/>
        </w:rPr>
        <w:t>PPM是不良品率的常用质量指标，表示每百万件产品中的不良品数量。对于发动机、变速箱、底盘、电池、电控、制动系统等核心零部件，PPM能够更直接地反映供应商制造过程能力和质量稳定性。</w:t>
      </w:r>
    </w:p>
    <w:p>
      <w:pPr>
        <w:spacing w:line="360" w:lineRule="auto" w:after="120"/>
        <w:ind w:firstLine="420"/>
      </w:pPr>
      <w:r>
        <w:rPr>
          <w:rFonts w:ascii="仿宋" w:hAnsi="仿宋" w:eastAsia="仿宋"/>
          <w:b w:val="0"/>
          <w:i w:val="0"/>
          <w:sz w:val="24"/>
        </w:rPr>
        <w:t>从前期整理情况看，核心零部件不良品率较上年有所下降。由于公开渠道尚未找到可核验的原始出处，正式版本不再列示具体PPM数值。该趋势表明，供应商在工艺稳定性、过程检验、特殊特性控制和异常预防方面可能取得一定成效。</w:t>
      </w:r>
    </w:p>
    <w:p>
      <w:pPr>
        <w:spacing w:line="360" w:lineRule="auto" w:after="120"/>
        <w:ind w:firstLine="420"/>
      </w:pPr>
      <w:r>
        <w:rPr>
          <w:rFonts w:ascii="仿宋" w:hAnsi="仿宋" w:eastAsia="仿宋"/>
          <w:b w:val="0"/>
          <w:i w:val="0"/>
          <w:sz w:val="24"/>
        </w:rPr>
        <w:t>需要注意的是，PPM下降不能简单等同于供应商质量管理体系完全成熟。PPM指标主要反映短期交付质量，对动力电池容量衰减、内阻增长、热失控风险等长期可靠性问题覆盖不足。因此，报告在使用该指标时，应避免将其泛化为“新能源零部件质量风险已得到充分控制”的结论。更合理的表述是：PPM下降说明交付阶段的显性不良有所减少，但仍需结合长期可靠性指标和售后质量数据进行判断。</w:t>
      </w:r>
    </w:p>
    <w:p>
      <w:pPr>
        <w:spacing w:before="120" w:after="60" w:line="360" w:lineRule="auto"/>
      </w:pPr>
      <w:r>
        <w:rPr>
          <w:rFonts w:ascii="黑体" w:hAnsi="黑体" w:eastAsia="黑体"/>
          <w:b/>
          <w:i w:val="0"/>
          <w:sz w:val="24"/>
        </w:rPr>
        <w:t>4.1.3 质量问题整改及时率与8D报告闭环率</w:t>
      </w:r>
    </w:p>
    <w:p>
      <w:pPr>
        <w:spacing w:line="360" w:lineRule="auto" w:after="120"/>
        <w:ind w:firstLine="420"/>
      </w:pPr>
      <w:r>
        <w:rPr>
          <w:rFonts w:ascii="仿宋" w:hAnsi="仿宋" w:eastAsia="仿宋"/>
          <w:b w:val="0"/>
          <w:i w:val="0"/>
          <w:sz w:val="24"/>
        </w:rPr>
        <w:t>质量问题整改及时率反映供应商在规定期限内完成整改任务的能力，8D报告闭环率反映问题分析、临时措施、根因确认、永久措施和效果验证等环节是否形成完整闭环。二者共同体现供应商质量问题处理机制的运行效率。</w:t>
      </w:r>
    </w:p>
    <w:p>
      <w:pPr>
        <w:spacing w:line="360" w:lineRule="auto" w:after="120"/>
        <w:ind w:firstLine="420"/>
      </w:pPr>
      <w:r>
        <w:rPr>
          <w:rFonts w:ascii="仿宋" w:hAnsi="仿宋" w:eastAsia="仿宋"/>
          <w:b w:val="0"/>
          <w:i w:val="0"/>
          <w:sz w:val="24"/>
        </w:rPr>
        <w:t>从前期整理情况看，质量问题整改及时率和8D报告闭环率整体保持较高水平，并较上年有所改善。由于公开渠道尚未披露完整统计口径，正式版本不再列示具体百分比。该趋势说明吉利汽车对供应商异常响应、整改时限和闭环验证的要求可能更加严格，供应商质量问题处理效率有所提升。</w:t>
      </w:r>
    </w:p>
    <w:p>
      <w:pPr>
        <w:spacing w:line="360" w:lineRule="auto" w:after="120"/>
        <w:ind w:firstLine="420"/>
      </w:pPr>
      <w:r>
        <w:rPr>
          <w:rFonts w:ascii="仿宋" w:hAnsi="仿宋" w:eastAsia="仿宋"/>
          <w:b w:val="0"/>
          <w:i w:val="0"/>
          <w:sz w:val="24"/>
        </w:rPr>
        <w:t>但整改及时率和8D闭环率存在一个重要局限：按时关闭不等于真正解决。若8D报告中的根因分析停留在表层，永久措施缺乏验证，或者同类问题反复发生，则高闭环率可能只是流程合规，并不能证明整改有效。因此，建议在后续版本中增加“重复问题发生率”“永久措施有效率”“横向展开完成率”等指标，用于判断整改质量，而不只是判断整改速度。</w:t>
      </w:r>
    </w:p>
    <w:p>
      <w:pPr>
        <w:spacing w:before="120" w:after="60" w:line="360" w:lineRule="auto"/>
      </w:pPr>
      <w:r>
        <w:rPr>
          <w:rFonts w:ascii="黑体" w:hAnsi="黑体" w:eastAsia="黑体"/>
          <w:b/>
          <w:i w:val="0"/>
          <w:sz w:val="24"/>
        </w:rPr>
        <w:t>4.1.4 合格供应商占比</w:t>
      </w:r>
    </w:p>
    <w:p>
      <w:pPr>
        <w:spacing w:line="360" w:lineRule="auto" w:after="120"/>
        <w:ind w:firstLine="420"/>
      </w:pPr>
      <w:r>
        <w:rPr>
          <w:rFonts w:ascii="仿宋" w:hAnsi="仿宋" w:eastAsia="仿宋"/>
          <w:b w:val="0"/>
          <w:i w:val="0"/>
          <w:sz w:val="24"/>
        </w:rPr>
        <w:t>合格供应商占比反映供应商群体整体质量状态和动态评价机制运行结果。从前期整理情况看，合格供应商占比维持在较高水平，说明供应商整体绩效可能保持稳定，也可能反映出主机厂通过分级管理、质量帮扶、订单倾斜和淘汰机制推动供应商持续改进。由于公开渠道尚未披露完整评价样本和计算口径，正式版本不再列示具体比例。</w:t>
      </w:r>
    </w:p>
    <w:p>
      <w:pPr>
        <w:spacing w:line="360" w:lineRule="auto" w:after="120"/>
        <w:ind w:firstLine="420"/>
      </w:pPr>
      <w:r>
        <w:rPr>
          <w:rFonts w:ascii="仿宋" w:hAnsi="仿宋" w:eastAsia="仿宋"/>
          <w:b w:val="0"/>
          <w:i w:val="0"/>
          <w:sz w:val="24"/>
        </w:rPr>
        <w:t>不过，该指标需要结合评价标准进行解释。如果评价标准发生变化，不同年度之间的占比并不具备完全可比性；如果评价对象范围发生变化，例如新增供应商或剔除低绩效供应商，也会影响合格占比。因此，正式报告应补充供应商评价维度、权重、样本数量和评价周期，避免只用比例变化进行简单判断。</w:t>
      </w:r>
    </w:p>
    <w:p>
      <w:pPr>
        <w:spacing w:before="240" w:after="120" w:line="360" w:lineRule="auto"/>
      </w:pPr>
      <w:r>
        <w:rPr>
          <w:rFonts w:ascii="黑体" w:hAnsi="黑体" w:eastAsia="黑体"/>
          <w:b/>
          <w:i w:val="0"/>
          <w:sz w:val="28"/>
        </w:rPr>
        <w:t>4.2 整车质量间接关联指标</w:t>
      </w:r>
    </w:p>
    <w:p>
      <w:pPr>
        <w:spacing w:line="360" w:lineRule="auto" w:after="120"/>
        <w:ind w:firstLine="420"/>
      </w:pPr>
      <w:r>
        <w:rPr>
          <w:rFonts w:ascii="仿宋" w:hAnsi="仿宋" w:eastAsia="仿宋"/>
          <w:b w:val="0"/>
          <w:i w:val="0"/>
          <w:sz w:val="24"/>
        </w:rPr>
        <w:t>整车质量表现可以作为供应商质量管理成效的间接观察指标，但不能作为单一因果证据。整车可靠性、安全评价和用户满意度不仅受供应商零部件质量影响，也受整车设计、制造装配、软件控制、售后服务和用户使用场景影响。因此，本节仅将相关指标作为辅助证据，用于说明供应商质量管理可能对整车质量形成支撑。</w:t>
      </w:r>
    </w:p>
    <w:p>
      <w:pPr>
        <w:spacing w:before="120" w:after="60" w:line="360" w:lineRule="auto"/>
      </w:pPr>
      <w:r>
        <w:rPr>
          <w:rFonts w:ascii="黑体" w:hAnsi="黑体" w:eastAsia="黑体"/>
          <w:b/>
          <w:i w:val="0"/>
          <w:sz w:val="24"/>
        </w:rPr>
        <w:t>4.2.1 百车故障率（PP100）</w:t>
      </w:r>
    </w:p>
    <w:p>
      <w:pPr>
        <w:spacing w:line="360" w:lineRule="auto" w:after="120"/>
        <w:ind w:firstLine="420"/>
      </w:pPr>
      <w:r>
        <w:rPr>
          <w:rFonts w:ascii="仿宋" w:hAnsi="仿宋" w:eastAsia="仿宋"/>
          <w:b w:val="0"/>
          <w:i w:val="0"/>
          <w:sz w:val="24"/>
        </w:rPr>
        <w:t>百车故障率（PP100）通常用于衡量每百辆车出现的问题数量。该指标越低，说明车辆在调查范围内的问题数量越少。前期报告中提到，吉利汽车在相关可靠性或新车质量研究中取得较好表现，并连续多年位居自主品牌前列。该类数据如果用于正式报告，必须明确具体研究名称，例如J.D. Power中国新车质量研究（IQS）或中国车辆可靠性研究（VDS），并标注报告年份、样本范围和发布来源。</w:t>
      </w:r>
    </w:p>
    <w:p>
      <w:pPr>
        <w:spacing w:line="360" w:lineRule="auto" w:after="120"/>
        <w:ind w:firstLine="420"/>
      </w:pPr>
      <w:r>
        <w:rPr>
          <w:rFonts w:ascii="仿宋" w:hAnsi="仿宋" w:eastAsia="仿宋"/>
          <w:b w:val="0"/>
          <w:i w:val="0"/>
          <w:sz w:val="24"/>
        </w:rPr>
        <w:t>从管理含义看，较低的PP100可以说明整车质量表现较好，而供应商零部件质量是其中的重要影响因素之一。但报告不能将PP100直接解释为供应商质量管理单独作用的结果。更严谨的表述应为：供应商质量管理通过提高零部件一致性、减少早期故障和降低售后质量问题，对整车可靠性具有支撑作用，但整车质量仍由设计、制造、软件和服务等多环节共同决定。</w:t>
      </w:r>
    </w:p>
    <w:p>
      <w:pPr>
        <w:spacing w:before="120" w:after="60" w:line="360" w:lineRule="auto"/>
      </w:pPr>
      <w:r>
        <w:rPr>
          <w:rFonts w:ascii="黑体" w:hAnsi="黑体" w:eastAsia="黑体"/>
          <w:b/>
          <w:i w:val="0"/>
          <w:sz w:val="24"/>
        </w:rPr>
        <w:t>4.2.2 关键部件故障率</w:t>
      </w:r>
    </w:p>
    <w:p>
      <w:pPr>
        <w:spacing w:line="360" w:lineRule="auto" w:after="120"/>
        <w:ind w:firstLine="420"/>
      </w:pPr>
      <w:r>
        <w:rPr>
          <w:rFonts w:ascii="仿宋" w:hAnsi="仿宋" w:eastAsia="仿宋"/>
          <w:b w:val="0"/>
          <w:i w:val="0"/>
          <w:sz w:val="24"/>
        </w:rPr>
        <w:t>关键部件故障率能够反映发动机、变速箱、底盘、电池、电控等核心系统的可靠性表现。前期报告中曾提到“发动机、变速箱和底盘核心故障率仅3.2%”以及“三年故障率下降”等数据，但目前尚未补充可靠来源和计算口径。正式版本应优先核验数据来源，明确故障率统计对象、样本范围、时间周期和故障定义。</w:t>
      </w:r>
    </w:p>
    <w:p>
      <w:pPr>
        <w:spacing w:line="360" w:lineRule="auto" w:after="120"/>
        <w:ind w:firstLine="420"/>
      </w:pPr>
      <w:r>
        <w:rPr>
          <w:rFonts w:ascii="仿宋" w:hAnsi="仿宋" w:eastAsia="仿宋"/>
          <w:b w:val="0"/>
          <w:i w:val="0"/>
          <w:sz w:val="24"/>
        </w:rPr>
        <w:t>若该类数据无法核验，建议删除具体数字，改为定性分析：核心部件质量表现是供应商质量管理的重要结果变量之一，尤其在新能源车型中，动力电池、电控系统和热管理系统的长期可靠性将直接影响用户体验和售后成本。</w:t>
      </w:r>
    </w:p>
    <w:p>
      <w:pPr>
        <w:spacing w:before="120" w:after="60" w:line="360" w:lineRule="auto"/>
      </w:pPr>
      <w:r>
        <w:rPr>
          <w:rFonts w:ascii="黑体" w:hAnsi="黑体" w:eastAsia="黑体"/>
          <w:b/>
          <w:i w:val="0"/>
          <w:sz w:val="24"/>
        </w:rPr>
        <w:t>4.2.3 C-NCAP五星车型数量与安全评价</w:t>
      </w:r>
    </w:p>
    <w:p>
      <w:pPr>
        <w:spacing w:line="360" w:lineRule="auto" w:after="120"/>
        <w:ind w:firstLine="420"/>
      </w:pPr>
      <w:r>
        <w:rPr>
          <w:rFonts w:ascii="仿宋" w:hAnsi="仿宋" w:eastAsia="仿宋"/>
          <w:b w:val="0"/>
          <w:i w:val="0"/>
          <w:sz w:val="24"/>
        </w:rPr>
        <w:t>C-NCAP五星评价能够反映整车在乘员保护、主动安全、行人保护等方面的综合安全水平。前期报告列举了吉利多款车型获得C-NCAP五星评价的情况，该内容可以作为整车质量和安全能力的间接佐证。</w:t>
      </w:r>
    </w:p>
    <w:p>
      <w:pPr>
        <w:spacing w:line="360" w:lineRule="auto" w:after="120"/>
        <w:ind w:firstLine="420"/>
      </w:pPr>
      <w:r>
        <w:rPr>
          <w:rFonts w:ascii="仿宋" w:hAnsi="仿宋" w:eastAsia="仿宋"/>
          <w:b w:val="0"/>
          <w:i w:val="0"/>
          <w:sz w:val="24"/>
        </w:rPr>
        <w:t>但需要注意，C-NCAP评价结果并不等同于供应商质量管理绩效。安全测试结果更多体现整车平台设计、结构安全、约束系统、主动安全算法和制造一致性等综合能力。供应商质量管理可能通过安全件质量稳定性、关键零部件一致性和过程追溯对安全评价形成支撑，但不能单独解释五星结果。因此，建议将该部分作为“间接关联指标”，并在正文中明确限定其解释边界。</w:t>
      </w:r>
    </w:p>
    <w:p>
      <w:pPr>
        <w:spacing w:before="240" w:after="120" w:line="360" w:lineRule="auto"/>
      </w:pPr>
      <w:r>
        <w:rPr>
          <w:rFonts w:ascii="黑体" w:hAnsi="黑体" w:eastAsia="黑体"/>
          <w:b/>
          <w:i w:val="0"/>
          <w:sz w:val="28"/>
        </w:rPr>
        <w:t>4.3 企业经营与市场背景指标</w:t>
      </w:r>
    </w:p>
    <w:p>
      <w:pPr>
        <w:spacing w:line="360" w:lineRule="auto" w:after="120"/>
        <w:ind w:firstLine="420"/>
      </w:pPr>
      <w:r>
        <w:rPr>
          <w:rFonts w:ascii="仿宋" w:hAnsi="仿宋" w:eastAsia="仿宋"/>
          <w:b w:val="0"/>
          <w:i w:val="0"/>
          <w:sz w:val="24"/>
        </w:rPr>
        <w:t>企业经营与市场指标主要用于说明质量管理体系对企业增长具有基础支撑作用，但不能作为供应商质量管理有效性的直接证据。销量、市场份额和用户满意度受产品竞争力、品牌定位、价格策略、渠道覆盖、宏观政策和消费趋势共同影响，不能简单归因于供应商质量管理。</w:t>
      </w:r>
    </w:p>
    <w:p>
      <w:pPr>
        <w:spacing w:before="120" w:after="60" w:line="360" w:lineRule="auto"/>
      </w:pPr>
      <w:r>
        <w:rPr>
          <w:rFonts w:ascii="黑体" w:hAnsi="黑体" w:eastAsia="黑体"/>
          <w:b/>
          <w:i w:val="0"/>
          <w:sz w:val="24"/>
        </w:rPr>
        <w:t>4.3.1 总销量与市场份额</w:t>
      </w:r>
    </w:p>
    <w:p>
      <w:pPr>
        <w:spacing w:line="360" w:lineRule="auto" w:after="120"/>
        <w:ind w:firstLine="420"/>
      </w:pPr>
      <w:r>
        <w:rPr>
          <w:rFonts w:ascii="仿宋" w:hAnsi="仿宋" w:eastAsia="仿宋"/>
          <w:b w:val="0"/>
          <w:i w:val="0"/>
          <w:sz w:val="24"/>
        </w:rPr>
        <w:t>根据公开报道和吉利汽车2025年中期业绩相关信息，吉利汽车2025年上半年总销量约为140.9万辆，同比增长约47%，市场份额首次突破10%。该数据可以说明吉利汽车在市场端保持较强增长势头，也意味着其供应链体系需要支撑更高规模的生产交付和质量一致性要求。</w:t>
      </w:r>
    </w:p>
    <w:p>
      <w:pPr>
        <w:spacing w:line="360" w:lineRule="auto" w:after="120"/>
        <w:ind w:firstLine="420"/>
      </w:pPr>
      <w:r>
        <w:rPr>
          <w:rFonts w:ascii="仿宋" w:hAnsi="仿宋" w:eastAsia="仿宋"/>
          <w:b w:val="0"/>
          <w:i w:val="0"/>
          <w:sz w:val="24"/>
        </w:rPr>
        <w:t>从供应商质量管理角度看，销量增长对供应商质量体系提出更高压力：一方面，产量提升可能放大供应商过程波动和批次质量风险；另一方面，多品牌、多车型、多平台并行生产也要求供应商具备更强的交付稳定性和质量一致性。因此，该数据更适合作为供应商质量管理压力和背景的说明，而不是供应商质量管理成效的直接证明。</w:t>
      </w:r>
    </w:p>
    <w:p>
      <w:pPr>
        <w:spacing w:before="120" w:after="60" w:line="360" w:lineRule="auto"/>
      </w:pPr>
      <w:r>
        <w:rPr>
          <w:rFonts w:ascii="黑体" w:hAnsi="黑体" w:eastAsia="黑体"/>
          <w:b/>
          <w:i w:val="0"/>
          <w:sz w:val="24"/>
        </w:rPr>
        <w:t>4.3.2 CACSI与J.D. Power满意度排名</w:t>
      </w:r>
    </w:p>
    <w:p>
      <w:pPr>
        <w:spacing w:line="360" w:lineRule="auto" w:after="120"/>
        <w:ind w:firstLine="420"/>
      </w:pPr>
      <w:r>
        <w:rPr>
          <w:rFonts w:ascii="仿宋" w:hAnsi="仿宋" w:eastAsia="仿宋"/>
          <w:b w:val="0"/>
          <w:i w:val="0"/>
          <w:sz w:val="24"/>
        </w:rPr>
        <w:t>CACSI和J.D. Power等第三方满意度研究可以反映用户对车辆质量、服务体验和品牌表现的综合感知。前期报告中提到吉利在售后服务满意度、自主品牌满意度等方面取得较好排名，该内容可以作为市场端反馈的辅助材料。</w:t>
      </w:r>
    </w:p>
    <w:p>
      <w:pPr>
        <w:spacing w:line="360" w:lineRule="auto" w:after="120"/>
        <w:ind w:firstLine="420"/>
      </w:pPr>
      <w:r>
        <w:rPr>
          <w:rFonts w:ascii="仿宋" w:hAnsi="仿宋" w:eastAsia="仿宋"/>
          <w:b w:val="0"/>
          <w:i w:val="0"/>
          <w:sz w:val="24"/>
        </w:rPr>
        <w:t>但满意度指标具有综合性，既包括产品质量，也包括售后服务、经销商响应、维修体验和品牌预期。报告在使用该类指标时，应避免将其直接解释为供应商质量管理结果。更合适的表述是：较高的用户满意度说明吉利在产品和服务体系方面获得一定市场认可，其中稳定的零部件质量和供应商质量管理是重要基础之一，但不是唯一因素。</w:t>
      </w:r>
    </w:p>
    <w:p>
      <w:pPr>
        <w:spacing w:before="240" w:after="120" w:line="360" w:lineRule="auto"/>
      </w:pPr>
      <w:r>
        <w:rPr>
          <w:rFonts w:ascii="黑体" w:hAnsi="黑体" w:eastAsia="黑体"/>
          <w:b/>
          <w:i w:val="0"/>
          <w:sz w:val="28"/>
        </w:rPr>
        <w:t>4.4 小结</w:t>
      </w:r>
    </w:p>
    <w:p>
      <w:pPr>
        <w:spacing w:line="360" w:lineRule="auto" w:after="120"/>
        <w:ind w:firstLine="420"/>
      </w:pPr>
      <w:r>
        <w:rPr>
          <w:rFonts w:ascii="仿宋" w:hAnsi="仿宋" w:eastAsia="仿宋"/>
          <w:b w:val="0"/>
          <w:i w:val="0"/>
          <w:sz w:val="24"/>
        </w:rPr>
        <w:t>综合来看，吉利汽车供应商质量绩效评价应以直接质量指标为核心，以整车质量指标为间接佐证，以经营和市场指标为背景补充。来料批次合格率、PPM、整改及时率、8D闭环率和合格供应商占比能够较直接反映供应商质量管理体系运行状态；PP100、关键部件故障率和安全评价能够从整车层面间接反映质量管理效果；销量、市场份额和满意度排名则主要说明质量管理体系对企业增长具有基础支撑作用。</w:t>
      </w:r>
    </w:p>
    <w:p>
      <w:pPr>
        <w:spacing w:line="360" w:lineRule="auto" w:after="120"/>
        <w:ind w:firstLine="420"/>
      </w:pPr>
      <w:r>
        <w:rPr>
          <w:rFonts w:ascii="仿宋" w:hAnsi="仿宋" w:eastAsia="仿宋"/>
          <w:b w:val="0"/>
          <w:i w:val="0"/>
          <w:sz w:val="24"/>
        </w:rPr>
        <w:t>需要强调的是，当前版本中部分具体数据仍需进一步核验。正式报告应优先补充官方报告、监管公告、第三方研究报告或企业内部质量记录作为依据。对于无法核验的数据，应删除具体数值或改为定性描述，避免因数据来源不清导致结论可信度下降。</w:t>
      </w:r>
    </w:p>
    <w:p>
      <w:pPr>
        <w:spacing w:before="240" w:after="120" w:line="360" w:lineRule="auto"/>
      </w:pPr>
      <w:r>
        <w:rPr>
          <w:rFonts w:ascii="黑体" w:hAnsi="黑体" w:eastAsia="黑体"/>
          <w:b/>
          <w:i w:val="0"/>
          <w:sz w:val="28"/>
        </w:rPr>
        <w:t>4.5 数据说明</w:t>
      </w:r>
    </w:p>
    <w:p>
      <w:pPr>
        <w:spacing w:line="360" w:lineRule="auto" w:after="120"/>
        <w:ind w:firstLine="420"/>
      </w:pPr>
      <w:r>
        <w:rPr>
          <w:rFonts w:ascii="仿宋" w:hAnsi="仿宋" w:eastAsia="仿宋"/>
          <w:b w:val="0"/>
          <w:i w:val="0"/>
          <w:sz w:val="24"/>
        </w:rPr>
        <w:t>本章部分数据来源于公司内部质量管理体系及公开行业调研，具体数值以官方报告为准。无法完全核验的数据已改为定性表述。</w:t>
      </w:r>
    </w:p>
    <w:p>
      <w:pPr>
        <w:spacing w:before="360" w:after="240" w:line="360" w:lineRule="auto"/>
        <w:jc w:val="center"/>
      </w:pPr>
      <w:r>
        <w:rPr>
          <w:rFonts w:ascii="黑体" w:hAnsi="黑体" w:eastAsia="黑体"/>
          <w:b/>
          <w:i w:val="0"/>
          <w:sz w:val="32"/>
        </w:rPr>
        <w:t>5 现存问题与挑战</w:t>
      </w:r>
    </w:p>
    <w:p>
      <w:pPr>
        <w:spacing w:before="240" w:after="120" w:line="360" w:lineRule="auto"/>
      </w:pPr>
      <w:r>
        <w:rPr>
          <w:rFonts w:ascii="黑体" w:hAnsi="黑体" w:eastAsia="黑体"/>
          <w:b/>
          <w:i w:val="0"/>
          <w:sz w:val="28"/>
        </w:rPr>
        <w:t>5.1 中小供应商质量管控薄弱</w:t>
      </w:r>
    </w:p>
    <w:p>
      <w:pPr>
        <w:spacing w:line="360" w:lineRule="auto" w:after="120"/>
        <w:ind w:firstLine="420"/>
      </w:pPr>
      <w:r>
        <w:rPr>
          <w:rFonts w:ascii="仿宋" w:hAnsi="仿宋" w:eastAsia="仿宋"/>
          <w:b w:val="0"/>
          <w:i w:val="0"/>
          <w:sz w:val="24"/>
        </w:rPr>
        <w:t>1. 中小供应商质量管理体系与能力存在短板。吉利供应链体系中，部分中小</w:t>
      </w:r>
    </w:p>
    <w:p>
      <w:pPr>
        <w:spacing w:line="360" w:lineRule="auto" w:after="120"/>
        <w:ind w:firstLine="420"/>
      </w:pPr>
      <w:r>
        <w:rPr>
          <w:rFonts w:ascii="仿宋" w:hAnsi="仿宋" w:eastAsia="仿宋"/>
          <w:b w:val="0"/>
          <w:i w:val="0"/>
          <w:sz w:val="24"/>
        </w:rPr>
        <w:t>供应商在质量体系建设、设备自动化水平及专业人员配备方面与大中型供应商存</w:t>
      </w:r>
    </w:p>
    <w:p>
      <w:pPr>
        <w:spacing w:line="360" w:lineRule="auto" w:after="120"/>
        <w:ind w:firstLine="420"/>
      </w:pPr>
      <w:r>
        <w:rPr>
          <w:rFonts w:ascii="仿宋" w:hAnsi="仿宋" w:eastAsia="仿宋"/>
          <w:b w:val="0"/>
          <w:i w:val="0"/>
          <w:sz w:val="24"/>
        </w:rPr>
        <w:t>在明显差距。据行业调研数据显示，中小供应商数字化质量管理平台接入率不足</w:t>
      </w:r>
    </w:p>
    <w:p>
      <w:pPr>
        <w:spacing w:line="360" w:lineRule="auto" w:after="120"/>
        <w:ind w:firstLine="420"/>
      </w:pPr>
      <w:r>
        <w:rPr>
          <w:rFonts w:ascii="仿宋" w:hAnsi="仿宋" w:eastAsia="仿宋"/>
          <w:b w:val="0"/>
          <w:i w:val="0"/>
          <w:sz w:val="24"/>
        </w:rPr>
        <w:t>30%，远低于核心供应商接近100%的覆盖水平。2024年统计表明，约 70%的批</w:t>
      </w:r>
    </w:p>
    <w:p>
      <w:pPr>
        <w:spacing w:line="360" w:lineRule="auto" w:after="120"/>
        <w:ind w:firstLine="420"/>
      </w:pPr>
      <w:r>
        <w:rPr>
          <w:rFonts w:ascii="仿宋" w:hAnsi="仿宋" w:eastAsia="仿宋"/>
          <w:b w:val="0"/>
          <w:i w:val="0"/>
          <w:sz w:val="24"/>
        </w:rPr>
        <w:t>量质量问题来源于中小供应商群体。</w:t>
      </w:r>
    </w:p>
    <w:p>
      <w:pPr>
        <w:spacing w:line="360" w:lineRule="auto" w:after="120"/>
        <w:ind w:firstLine="420"/>
      </w:pPr>
      <w:r>
        <w:rPr>
          <w:rFonts w:ascii="仿宋" w:hAnsi="仿宋" w:eastAsia="仿宋"/>
          <w:b w:val="0"/>
          <w:i w:val="0"/>
          <w:sz w:val="24"/>
        </w:rPr>
        <w:t>2. 中小供应商数字化水平制约整体质量监控效率。部分中小供应商质量数据</w:t>
      </w:r>
    </w:p>
    <w:p>
      <w:pPr>
        <w:spacing w:line="360" w:lineRule="auto" w:after="120"/>
        <w:ind w:firstLine="420"/>
      </w:pPr>
      <w:r>
        <w:rPr>
          <w:rFonts w:ascii="仿宋" w:hAnsi="仿宋" w:eastAsia="仿宋"/>
          <w:b w:val="0"/>
          <w:i w:val="0"/>
          <w:sz w:val="24"/>
        </w:rPr>
        <w:t>采集手段落后，数据传递不及时、不完整，导致主机厂对上游质量波动的响应存</w:t>
      </w:r>
    </w:p>
    <w:p>
      <w:pPr>
        <w:spacing w:line="360" w:lineRule="auto" w:after="120"/>
        <w:ind w:firstLine="420"/>
      </w:pPr>
      <w:r>
        <w:rPr>
          <w:rFonts w:ascii="仿宋" w:hAnsi="仿宋" w:eastAsia="仿宋"/>
          <w:b w:val="0"/>
          <w:i w:val="0"/>
          <w:sz w:val="24"/>
        </w:rPr>
        <w:t>在滞后。这一问题在电池电芯等关键零部件领域尤为突出——供应商端缺乏全流</w:t>
      </w:r>
    </w:p>
    <w:p>
      <w:pPr>
        <w:spacing w:line="360" w:lineRule="auto" w:after="120"/>
        <w:ind w:firstLine="420"/>
      </w:pPr>
      <w:r>
        <w:rPr>
          <w:rFonts w:ascii="仿宋" w:hAnsi="仿宋" w:eastAsia="仿宋"/>
          <w:b w:val="0"/>
          <w:i w:val="0"/>
          <w:sz w:val="24"/>
        </w:rPr>
        <w:t>程参数追溯能力，一旦出现质量争议，责任界定困难，整改周期被拉长。</w:t>
      </w:r>
    </w:p>
    <w:p>
      <w:pPr>
        <w:spacing w:line="360" w:lineRule="auto" w:after="120"/>
        <w:ind w:firstLine="420"/>
      </w:pPr>
      <w:r>
        <w:rPr>
          <w:rFonts w:ascii="仿宋" w:hAnsi="仿宋" w:eastAsia="仿宋"/>
          <w:b w:val="0"/>
          <w:i w:val="0"/>
          <w:sz w:val="24"/>
        </w:rPr>
        <w:t>上述问题反映出：吉利供应链质量管控存在“木桶效应”，中小供应商的质量</w:t>
      </w:r>
    </w:p>
    <w:p>
      <w:pPr>
        <w:spacing w:line="360" w:lineRule="auto" w:after="120"/>
        <w:ind w:firstLine="420"/>
      </w:pPr>
      <w:r>
        <w:rPr>
          <w:rFonts w:ascii="仿宋" w:hAnsi="仿宋" w:eastAsia="仿宋"/>
          <w:b w:val="0"/>
          <w:i w:val="0"/>
          <w:sz w:val="24"/>
        </w:rPr>
        <w:t>能力短板已成为制约整体质量水平提升的关键瓶颈。</w:t>
      </w:r>
    </w:p>
    <w:p>
      <w:pPr>
        <w:spacing w:before="240" w:after="120" w:line="360" w:lineRule="auto"/>
      </w:pPr>
      <w:r>
        <w:rPr>
          <w:rFonts w:ascii="黑体" w:hAnsi="黑体" w:eastAsia="黑体"/>
          <w:b/>
          <w:i w:val="0"/>
          <w:sz w:val="28"/>
        </w:rPr>
        <w:t>5.2 新能源零部件质量风险凸显</w:t>
      </w:r>
    </w:p>
    <w:p>
      <w:pPr>
        <w:spacing w:before="120" w:after="60" w:line="360" w:lineRule="auto"/>
      </w:pPr>
      <w:r>
        <w:rPr>
          <w:rFonts w:ascii="黑体" w:hAnsi="黑体" w:eastAsia="黑体"/>
          <w:b/>
          <w:i w:val="0"/>
          <w:sz w:val="24"/>
        </w:rPr>
        <w:t>5.2.1 三电系统供应商质量标准不统一</w:t>
      </w:r>
    </w:p>
    <w:p>
      <w:pPr>
        <w:spacing w:line="360" w:lineRule="auto" w:after="120"/>
        <w:ind w:firstLine="420"/>
      </w:pPr>
      <w:r>
        <w:rPr>
          <w:rFonts w:ascii="仿宋" w:hAnsi="仿宋" w:eastAsia="仿宋"/>
          <w:b w:val="0"/>
          <w:i w:val="0"/>
          <w:sz w:val="24"/>
        </w:rPr>
        <w:t>电池质量投诉占比偏高。2024年吉利电池相关质量投诉占整体投诉的18%，</w:t>
      </w:r>
    </w:p>
    <w:p>
      <w:pPr>
        <w:spacing w:line="360" w:lineRule="auto" w:after="120"/>
        <w:ind w:firstLine="420"/>
      </w:pPr>
      <w:r>
        <w:rPr>
          <w:rFonts w:ascii="仿宋" w:hAnsi="仿宋" w:eastAsia="仿宋"/>
          <w:b w:val="0"/>
          <w:i w:val="0"/>
          <w:sz w:val="24"/>
        </w:rPr>
        <w:t>高于传统零部件。行业层面，2025 年一季度车质网共收到新能源汽车动力电池</w:t>
      </w:r>
    </w:p>
    <w:p>
      <w:pPr>
        <w:spacing w:line="360" w:lineRule="auto" w:after="120"/>
        <w:ind w:firstLine="420"/>
      </w:pPr>
      <w:r>
        <w:rPr>
          <w:rFonts w:ascii="仿宋" w:hAnsi="仿宋" w:eastAsia="仿宋"/>
          <w:b w:val="0"/>
          <w:i w:val="0"/>
          <w:sz w:val="24"/>
        </w:rPr>
        <w:t>故障投诉2,653宗，环比上涨40.7%，同比上涨12.3%，创单季历史新高。</w:t>
      </w:r>
    </w:p>
    <w:p>
      <w:pPr>
        <w:spacing w:before="120" w:after="60" w:line="360" w:lineRule="auto"/>
      </w:pPr>
      <w:r>
        <w:rPr>
          <w:rFonts w:ascii="黑体" w:hAnsi="黑体" w:eastAsia="黑体"/>
          <w:b/>
          <w:i w:val="0"/>
          <w:sz w:val="24"/>
        </w:rPr>
        <w:t>5.2.2 典型案例：欣旺达动力电池质量事件深度分析</w:t>
      </w:r>
    </w:p>
    <w:p>
      <w:pPr>
        <w:spacing w:line="360" w:lineRule="auto" w:after="120"/>
        <w:ind w:firstLine="420"/>
      </w:pPr>
      <w:r>
        <w:rPr>
          <w:rFonts w:ascii="仿宋" w:hAnsi="仿宋" w:eastAsia="仿宋"/>
          <w:b w:val="0"/>
          <w:i w:val="0"/>
          <w:sz w:val="24"/>
        </w:rPr>
        <w:t>5.2.2.1 案例背景</w:t>
      </w:r>
    </w:p>
    <w:p>
      <w:pPr>
        <w:spacing w:line="360" w:lineRule="auto" w:after="120"/>
        <w:ind w:firstLine="420"/>
      </w:pPr>
      <w:r>
        <w:rPr>
          <w:rFonts w:ascii="仿宋" w:hAnsi="仿宋" w:eastAsia="仿宋"/>
          <w:b w:val="0"/>
          <w:i w:val="0"/>
          <w:sz w:val="24"/>
        </w:rPr>
        <w:t>欣旺达动力电池质量事件是吉利汽车新能源供应链质量管理中具有代表性的案例。涉事电芯供应商为山东吉利欣旺达动力电池有限公司，该公司由吉利体系与欣旺达动力共同设立，其中吉利方面持股比例较高，属于主机厂与电池企业深度绑定的关联型供应商。与普通外部供应商相比，关联供应商在项目协同、产能保障和技术沟通方面具有优势，但也对主机厂的质量边界划分、客观审核机制和风险隔离能力提出了更高要求。</w:t>
      </w:r>
    </w:p>
    <w:p>
      <w:pPr>
        <w:spacing w:line="360" w:lineRule="auto" w:after="120"/>
        <w:ind w:firstLine="420"/>
      </w:pPr>
      <w:r>
        <w:rPr>
          <w:rFonts w:ascii="仿宋" w:hAnsi="仿宋" w:eastAsia="仿宋"/>
          <w:b w:val="0"/>
          <w:i w:val="0"/>
          <w:sz w:val="24"/>
        </w:rPr>
        <w:t>从公开信息看，相关问题主要涉及2021年7月至2024年3月期间生产的部分极氪001 WE版86kWh车型，以及搭载同源动力电池部件的smart相关车型。根据国家市场监管总局缺陷产品召回公告，极氪001 WE版86kWh车型召回数量为38277辆；smart精灵#1和smart精灵#3也分别因高压动力电池部件制造一致性问题启动召回。召回原因集中指向高压动力电池部件在长期使用后可能出现内阻异常升高，进而导致车辆性能下降，极端情况下存在安全风险。</w:t>
      </w:r>
    </w:p>
    <w:p>
      <w:pPr>
        <w:jc w:val="center"/>
      </w:pPr>
      <w:r>
        <w:rPr>
          <w:rFonts w:ascii="黑体" w:hAnsi="黑体" w:eastAsia="黑体"/>
          <w:b/>
          <w:i w:val="0"/>
          <w:sz w:val="21"/>
        </w:rPr>
        <w:t>表2</w:t>
      </w:r>
    </w:p>
    <w:tbl>
      <w:tblPr>
        <w:tblStyle w:val="TableGrid"/>
        <w:tblW w:type="auto" w:w="0"/>
        <w:tblLook w:firstColumn="1" w:firstRow="1" w:lastColumn="0" w:lastRow="0" w:noHBand="0" w:noVBand="1" w:val="04A0"/>
      </w:tblPr>
      <w:tblGrid>
        <w:gridCol w:w="1441"/>
        <w:gridCol w:w="1441"/>
        <w:gridCol w:w="1441"/>
        <w:gridCol w:w="1441"/>
        <w:gridCol w:w="1441"/>
        <w:gridCol w:w="1441"/>
      </w:tblGrid>
      <w:tr>
        <w:tc>
          <w:tcPr>
            <w:tcW w:type="dxa" w:w="1441"/>
          </w:tcPr>
          <w:p>
            <w:r>
              <w:rPr>
                <w:rFonts w:ascii="黑体" w:hAnsi="黑体" w:eastAsia="黑体"/>
                <w:b/>
                <w:i w:val="0"/>
                <w:sz w:val="21"/>
              </w:rPr>
              <w:t>品牌</w:t>
            </w:r>
          </w:p>
        </w:tc>
        <w:tc>
          <w:tcPr>
            <w:tcW w:type="dxa" w:w="1441"/>
          </w:tcPr>
          <w:p>
            <w:r>
              <w:rPr>
                <w:rFonts w:ascii="黑体" w:hAnsi="黑体" w:eastAsia="黑体"/>
                <w:b/>
                <w:i w:val="0"/>
                <w:sz w:val="21"/>
              </w:rPr>
              <w:t>车型</w:t>
            </w:r>
          </w:p>
        </w:tc>
        <w:tc>
          <w:tcPr>
            <w:tcW w:type="dxa" w:w="1441"/>
          </w:tcPr>
          <w:p>
            <w:r>
              <w:rPr>
                <w:rFonts w:ascii="黑体" w:hAnsi="黑体" w:eastAsia="黑体"/>
                <w:b/>
                <w:i w:val="0"/>
                <w:sz w:val="21"/>
              </w:rPr>
              <w:t>召回数量（辆）</w:t>
            </w:r>
          </w:p>
        </w:tc>
        <w:tc>
          <w:tcPr>
            <w:tcW w:type="dxa" w:w="1441"/>
          </w:tcPr>
          <w:p>
            <w:r>
              <w:rPr>
                <w:rFonts w:ascii="黑体" w:hAnsi="黑体" w:eastAsia="黑体"/>
                <w:b/>
                <w:i w:val="0"/>
                <w:sz w:val="21"/>
              </w:rPr>
              <w:t>召回日期</w:t>
            </w:r>
          </w:p>
        </w:tc>
        <w:tc>
          <w:tcPr>
            <w:tcW w:type="dxa" w:w="1441"/>
          </w:tcPr>
          <w:p>
            <w:r>
              <w:rPr>
                <w:rFonts w:ascii="黑体" w:hAnsi="黑体" w:eastAsia="黑体"/>
                <w:b/>
                <w:i w:val="0"/>
                <w:sz w:val="21"/>
              </w:rPr>
              <w:t>生产日期范围</w:t>
            </w:r>
          </w:p>
        </w:tc>
        <w:tc>
          <w:tcPr>
            <w:tcW w:type="dxa" w:w="1441"/>
          </w:tcPr>
          <w:p>
            <w:r>
              <w:rPr>
                <w:rFonts w:ascii="黑体" w:hAnsi="黑体" w:eastAsia="黑体"/>
                <w:b/>
                <w:i w:val="0"/>
                <w:sz w:val="21"/>
              </w:rPr>
              <w:t>召回原因</w:t>
            </w:r>
          </w:p>
        </w:tc>
      </w:tr>
      <w:tr>
        <w:tc>
          <w:tcPr>
            <w:tcW w:type="dxa" w:w="1441"/>
          </w:tcPr>
          <w:p>
            <w:r>
              <w:rPr>
                <w:rFonts w:ascii="仿宋" w:hAnsi="仿宋" w:eastAsia="仿宋"/>
                <w:b w:val="0"/>
                <w:i w:val="0"/>
                <w:sz w:val="21"/>
              </w:rPr>
              <w:t>极氪</w:t>
            </w:r>
          </w:p>
        </w:tc>
        <w:tc>
          <w:tcPr>
            <w:tcW w:type="dxa" w:w="1441"/>
          </w:tcPr>
          <w:p>
            <w:r>
              <w:rPr>
                <w:rFonts w:ascii="仿宋" w:hAnsi="仿宋" w:eastAsia="仿宋"/>
                <w:b w:val="0"/>
                <w:i w:val="0"/>
                <w:sz w:val="21"/>
              </w:rPr>
              <w:t>001 WE版（86kWh）</w:t>
            </w:r>
          </w:p>
        </w:tc>
        <w:tc>
          <w:tcPr>
            <w:tcW w:type="dxa" w:w="1441"/>
          </w:tcPr>
          <w:p>
            <w:r>
              <w:rPr>
                <w:rFonts w:ascii="仿宋" w:hAnsi="仿宋" w:eastAsia="仿宋"/>
                <w:b w:val="0"/>
                <w:i w:val="0"/>
                <w:sz w:val="21"/>
              </w:rPr>
              <w:t>38277</w:t>
            </w:r>
          </w:p>
        </w:tc>
        <w:tc>
          <w:tcPr>
            <w:tcW w:type="dxa" w:w="1441"/>
          </w:tcPr>
          <w:p>
            <w:r>
              <w:rPr>
                <w:rFonts w:ascii="仿宋" w:hAnsi="仿宋" w:eastAsia="仿宋"/>
                <w:b w:val="0"/>
                <w:i w:val="0"/>
                <w:sz w:val="21"/>
              </w:rPr>
              <w:t>2026年3月6日起</w:t>
            </w:r>
          </w:p>
        </w:tc>
        <w:tc>
          <w:tcPr>
            <w:tcW w:type="dxa" w:w="1441"/>
          </w:tcPr>
          <w:p>
            <w:r>
              <w:rPr>
                <w:rFonts w:ascii="仿宋" w:hAnsi="仿宋" w:eastAsia="仿宋"/>
                <w:b w:val="0"/>
                <w:i w:val="0"/>
                <w:sz w:val="21"/>
              </w:rPr>
              <w:t>2021年7月8日至2024年3月18日</w:t>
            </w:r>
          </w:p>
        </w:tc>
        <w:tc>
          <w:tcPr>
            <w:tcW w:type="dxa" w:w="1441"/>
          </w:tcPr>
          <w:p>
            <w:r>
              <w:rPr>
                <w:rFonts w:ascii="仿宋" w:hAnsi="仿宋" w:eastAsia="仿宋"/>
                <w:b w:val="0"/>
                <w:i w:val="0"/>
                <w:sz w:val="21"/>
              </w:rPr>
              <w:t>高压动力电池部件制造一致性原因，长期使用后内阻异常升高，可能导致性能下降甚至热失控</w:t>
            </w:r>
          </w:p>
        </w:tc>
      </w:tr>
      <w:tr>
        <w:tc>
          <w:tcPr>
            <w:tcW w:type="dxa" w:w="1441"/>
          </w:tcPr>
          <w:p>
            <w:r>
              <w:rPr>
                <w:rFonts w:ascii="仿宋" w:hAnsi="仿宋" w:eastAsia="仿宋"/>
                <w:b w:val="0"/>
                <w:i w:val="0"/>
                <w:sz w:val="21"/>
              </w:rPr>
              <w:t>smart</w:t>
            </w:r>
          </w:p>
        </w:tc>
        <w:tc>
          <w:tcPr>
            <w:tcW w:type="dxa" w:w="1441"/>
          </w:tcPr>
          <w:p>
            <w:r>
              <w:rPr>
                <w:rFonts w:ascii="仿宋" w:hAnsi="仿宋" w:eastAsia="仿宋"/>
                <w:b w:val="0"/>
                <w:i w:val="0"/>
                <w:sz w:val="21"/>
              </w:rPr>
              <w:t>精灵#1</w:t>
            </w:r>
          </w:p>
        </w:tc>
        <w:tc>
          <w:tcPr>
            <w:tcW w:type="dxa" w:w="1441"/>
          </w:tcPr>
          <w:p>
            <w:r>
              <w:rPr>
                <w:rFonts w:ascii="仿宋" w:hAnsi="仿宋" w:eastAsia="仿宋"/>
                <w:b w:val="0"/>
                <w:i w:val="0"/>
                <w:sz w:val="21"/>
              </w:rPr>
              <w:t>16072</w:t>
            </w:r>
          </w:p>
        </w:tc>
        <w:tc>
          <w:tcPr>
            <w:tcW w:type="dxa" w:w="1441"/>
          </w:tcPr>
          <w:p>
            <w:r>
              <w:rPr>
                <w:rFonts w:ascii="仿宋" w:hAnsi="仿宋" w:eastAsia="仿宋"/>
                <w:b w:val="0"/>
                <w:i w:val="0"/>
                <w:sz w:val="21"/>
              </w:rPr>
              <w:t>2026年3月17日起</w:t>
            </w:r>
          </w:p>
        </w:tc>
        <w:tc>
          <w:tcPr>
            <w:tcW w:type="dxa" w:w="1441"/>
          </w:tcPr>
          <w:p>
            <w:r>
              <w:rPr>
                <w:rFonts w:ascii="仿宋" w:hAnsi="仿宋" w:eastAsia="仿宋"/>
                <w:b w:val="0"/>
                <w:i w:val="0"/>
                <w:sz w:val="21"/>
              </w:rPr>
              <w:t>2022年8月12日至2023年10月19日</w:t>
            </w:r>
          </w:p>
        </w:tc>
        <w:tc>
          <w:tcPr>
            <w:tcW w:type="dxa" w:w="1441"/>
          </w:tcPr>
          <w:p>
            <w:r>
              <w:rPr>
                <w:rFonts w:ascii="仿宋" w:hAnsi="仿宋" w:eastAsia="仿宋"/>
                <w:b w:val="0"/>
                <w:i w:val="0"/>
                <w:sz w:val="21"/>
              </w:rPr>
              <w:t>高压动力电池部件制造一致性原因，长期使用后内阻异常升高，可能导致性能下降甚至热失控</w:t>
            </w:r>
          </w:p>
        </w:tc>
      </w:tr>
      <w:tr>
        <w:tc>
          <w:tcPr>
            <w:tcW w:type="dxa" w:w="1441"/>
          </w:tcPr>
          <w:p>
            <w:r>
              <w:rPr>
                <w:rFonts w:ascii="仿宋" w:hAnsi="仿宋" w:eastAsia="仿宋"/>
                <w:b w:val="0"/>
                <w:i w:val="0"/>
                <w:sz w:val="21"/>
              </w:rPr>
              <w:t>smart</w:t>
            </w:r>
          </w:p>
        </w:tc>
        <w:tc>
          <w:tcPr>
            <w:tcW w:type="dxa" w:w="1441"/>
          </w:tcPr>
          <w:p>
            <w:r>
              <w:rPr>
                <w:rFonts w:ascii="仿宋" w:hAnsi="仿宋" w:eastAsia="仿宋"/>
                <w:b w:val="0"/>
                <w:i w:val="0"/>
                <w:sz w:val="21"/>
              </w:rPr>
              <w:t>精灵#3</w:t>
            </w:r>
          </w:p>
        </w:tc>
        <w:tc>
          <w:tcPr>
            <w:tcW w:type="dxa" w:w="1441"/>
          </w:tcPr>
          <w:p>
            <w:r>
              <w:rPr>
                <w:rFonts w:ascii="仿宋" w:hAnsi="仿宋" w:eastAsia="仿宋"/>
                <w:b w:val="0"/>
                <w:i w:val="0"/>
                <w:sz w:val="21"/>
              </w:rPr>
              <w:t>2145</w:t>
            </w:r>
          </w:p>
        </w:tc>
        <w:tc>
          <w:tcPr>
            <w:tcW w:type="dxa" w:w="1441"/>
          </w:tcPr>
          <w:p>
            <w:r>
              <w:rPr>
                <w:rFonts w:ascii="仿宋" w:hAnsi="仿宋" w:eastAsia="仿宋"/>
                <w:b w:val="0"/>
                <w:i w:val="0"/>
                <w:sz w:val="21"/>
              </w:rPr>
              <w:t>2026年3月17日起</w:t>
            </w:r>
          </w:p>
        </w:tc>
        <w:tc>
          <w:tcPr>
            <w:tcW w:type="dxa" w:w="1441"/>
          </w:tcPr>
          <w:p>
            <w:r>
              <w:rPr>
                <w:rFonts w:ascii="仿宋" w:hAnsi="仿宋" w:eastAsia="仿宋"/>
                <w:b w:val="0"/>
                <w:i w:val="0"/>
                <w:sz w:val="21"/>
              </w:rPr>
              <w:t>2022年10月19日至2023年8月7日</w:t>
            </w:r>
          </w:p>
        </w:tc>
        <w:tc>
          <w:tcPr>
            <w:tcW w:type="dxa" w:w="1441"/>
          </w:tcPr>
          <w:p>
            <w:r>
              <w:rPr>
                <w:rFonts w:ascii="仿宋" w:hAnsi="仿宋" w:eastAsia="仿宋"/>
                <w:b w:val="0"/>
                <w:i w:val="0"/>
                <w:sz w:val="21"/>
              </w:rPr>
              <w:t>高压动力电池部件制造一致性原因，长期使用后内阻异常升高，可能导致性能下降甚至热失控</w:t>
            </w:r>
          </w:p>
        </w:tc>
      </w:tr>
    </w:tbl>
    <w:p/>
    <w:p>
      <w:pPr>
        <w:spacing w:line="360" w:lineRule="auto" w:after="120"/>
        <w:ind w:firstLine="420"/>
      </w:pPr>
      <w:r>
        <w:rPr>
          <w:rFonts w:ascii="仿宋" w:hAnsi="仿宋" w:eastAsia="仿宋"/>
          <w:b w:val="0"/>
          <w:i w:val="0"/>
          <w:sz w:val="24"/>
        </w:rPr>
        <w:t>数据来源：极氪召回——市场监管总局召回公告 S2026M0023V（2026年2月9日）；smart召回——市场监管总局召回公告 S2026M0029V（2026年3月12日）。</w:t>
      </w:r>
    </w:p>
    <w:p>
      <w:pPr>
        <w:spacing w:line="360" w:lineRule="auto" w:after="120"/>
        <w:ind w:firstLine="420"/>
      </w:pPr>
      <w:r>
        <w:rPr>
          <w:rFonts w:ascii="仿宋" w:hAnsi="仿宋" w:eastAsia="仿宋"/>
          <w:b w:val="0"/>
          <w:i w:val="0"/>
          <w:sz w:val="24"/>
        </w:rPr>
        <w:t>该案例的特殊性在于，问题并非传统零部件出厂即显性的尺寸、外观或装配缺陷，而是在车辆经过一定使用周期后逐步暴露的长期可靠性问题。动力电池由大量电芯组成，单体电芯之间的容量、内阻、电压平台和衰减速度一旦出现离散性扩大，可能在整包层面被放大，最终表现为续航下降、充电速度变慢、电量估算偏差、动力性能受限等用户可感知问题。因此，该事件不仅是单一供应商质量事故，也反映出新能源三电系统质量管理由“零件合格”向“系统长期可靠”转变过程中的管理挑战。</w:t>
      </w:r>
    </w:p>
    <w:p>
      <w:pPr>
        <w:spacing w:line="360" w:lineRule="auto" w:after="120"/>
        <w:ind w:firstLine="420"/>
      </w:pPr>
      <w:r>
        <w:rPr>
          <w:rFonts w:ascii="仿宋" w:hAnsi="仿宋" w:eastAsia="仿宋"/>
          <w:b w:val="0"/>
          <w:i w:val="0"/>
          <w:sz w:val="24"/>
        </w:rPr>
        <w:t>5.2.2.2 问题暴露与技术争议</w:t>
      </w:r>
    </w:p>
    <w:p>
      <w:pPr>
        <w:spacing w:line="360" w:lineRule="auto" w:after="120"/>
        <w:ind w:firstLine="420"/>
      </w:pPr>
      <w:r>
        <w:rPr>
          <w:rFonts w:ascii="仿宋" w:hAnsi="仿宋" w:eastAsia="仿宋"/>
          <w:b w:val="0"/>
          <w:i w:val="0"/>
          <w:sz w:val="24"/>
        </w:rPr>
        <w:t>从用户端反馈看，部分车主集中反映车辆出现充电速度下降、表显续航与实际续航偏差扩大、电池容量异常衰减等问题。例如，部分车辆在满电状态下表显续航较高，但实际可行驶里程明显低于预期；部分车辆快充功率较购车初期出现明显下降。这类问题具有渐进性和使用场景相关性，早期不一定能通过常规出厂检验完全识别。</w:t>
      </w:r>
    </w:p>
    <w:p>
      <w:pPr>
        <w:spacing w:line="360" w:lineRule="auto" w:after="120"/>
        <w:ind w:firstLine="420"/>
      </w:pPr>
      <w:r>
        <w:rPr>
          <w:rFonts w:ascii="仿宋" w:hAnsi="仿宋" w:eastAsia="仿宋"/>
          <w:b w:val="0"/>
          <w:i w:val="0"/>
          <w:sz w:val="24"/>
        </w:rPr>
        <w:t>在责任认定层面，威睿电动与欣旺达之间存在技术争议。威睿电动方面认为，涉事电芯存在电压平台不一致、内阻差异过大等制造一致性问题，导致电池包在长期使用后出现性能下降和安全隐患。欣旺达方面则认为，动力电池实际表现还受到整车BMS策略、充放电控制逻辑和后续软件策略调整等因素影响，不能简单将问题全部归因于电芯制造。</w:t>
      </w:r>
    </w:p>
    <w:p>
      <w:pPr>
        <w:spacing w:line="360" w:lineRule="auto" w:after="120"/>
        <w:ind w:firstLine="420"/>
      </w:pPr>
      <w:r>
        <w:rPr>
          <w:rFonts w:ascii="仿宋" w:hAnsi="仿宋" w:eastAsia="仿宋"/>
          <w:b w:val="0"/>
          <w:i w:val="0"/>
          <w:sz w:val="24"/>
        </w:rPr>
        <w:t>这一争议说明，新能源三电系统质量责任具有明显的系统耦合特征。电芯、电池包、BMS和整车控制策略共同决定最终用户体验。若前期技术协议、边界条件、验证场景和责任分担机制不够清晰，一旦发生批量质量问题，主机厂与供应商之间容易在“电芯制造一致性”与“整车使用策略适配性”之间产生责任分歧。</w:t>
      </w:r>
    </w:p>
    <w:p>
      <w:pPr>
        <w:spacing w:line="360" w:lineRule="auto" w:after="120"/>
        <w:ind w:firstLine="420"/>
      </w:pPr>
      <w:r>
        <w:rPr>
          <w:rFonts w:ascii="仿宋" w:hAnsi="仿宋" w:eastAsia="仿宋"/>
          <w:b w:val="0"/>
          <w:i w:val="0"/>
          <w:sz w:val="24"/>
        </w:rPr>
        <w:t>从公开披露结果看，双方最终达成和解。根据相关公告和公开报道，欣旺达需承担截至约定日期前已发生的部分更换费用，和解金额约6.08亿元，并按协议分期支付。与此同时，极氪和smart相关车型启动召回与电池检测、更换安排。需要注意的是，和解安排并不等同于对全部技术责任的单方面法律认定，因此报告中不宜简单表述为“供应商完全失责”，更严谨的表述应为：该事件暴露出动力电池供应链在一致性控制、长期可靠性验证、系统责任边界和售后预警闭环方面存在较高管理复杂度。</w:t>
      </w:r>
    </w:p>
    <w:p>
      <w:pPr>
        <w:spacing w:line="360" w:lineRule="auto" w:after="120"/>
        <w:ind w:firstLine="420"/>
      </w:pPr>
      <w:r>
        <w:rPr>
          <w:rFonts w:ascii="仿宋" w:hAnsi="仿宋" w:eastAsia="仿宋"/>
          <w:b w:val="0"/>
          <w:i w:val="0"/>
          <w:sz w:val="24"/>
        </w:rPr>
        <w:t>5.2.2.3 质量管理工具视角根因分析</w:t>
      </w:r>
    </w:p>
    <w:p>
      <w:pPr>
        <w:spacing w:line="360" w:lineRule="auto" w:after="120"/>
        <w:ind w:firstLine="420"/>
      </w:pPr>
      <w:r>
        <w:rPr>
          <w:rFonts w:ascii="仿宋" w:hAnsi="仿宋" w:eastAsia="仿宋"/>
          <w:b w:val="0"/>
          <w:i w:val="0"/>
          <w:sz w:val="24"/>
        </w:rPr>
        <w:t>从APQP（先期产品质量策划）视角看，该事件首先反映出新能源关键零部件早期质量策划必须充分覆盖长期使用风险。传统APQP强调产品设计、过程设计、样件验证和量产准备，但动力电池的风险并不只体现在交付初期，还体现在长期循环、低温快充、高温暴晒、用户高频快充、不同SOC区间运行等复合场景。如果早期策划阶段对电芯一致性衰减、内阻增长、容量离散扩大等风险识别不足，后续即使出厂检验合格，也可能在用户使用周期内暴露批量问题。因此，动力电池APQP应将“长期一致性”作为特殊特性进行管理，而不应仅关注初始容量、初始内阻和出厂安全测试。</w:t>
      </w:r>
    </w:p>
    <w:p>
      <w:pPr>
        <w:spacing w:line="360" w:lineRule="auto" w:after="120"/>
        <w:ind w:firstLine="420"/>
      </w:pPr>
      <w:r>
        <w:rPr>
          <w:rFonts w:ascii="仿宋" w:hAnsi="仿宋" w:eastAsia="仿宋"/>
          <w:b w:val="0"/>
          <w:i w:val="0"/>
          <w:sz w:val="24"/>
        </w:rPr>
        <w:t>从SPC（统计过程控制）视角看，电芯制造过程需要对容量、内阻、电压平台、极片涂布均匀性、注液量、化成分容结果等关键参数实施持续监控。若过程能力指数、批次离散度或异常趋势没有被及时识别，制造过程中的微小波动可能在大规模装车后转化为批量质量风险。该案例提示，新能源三电供应商质量评价不应只看最终抽检合格率，还应穿透到关键工序过程能力、批次稳定性和异常趋势预警。对于动力电池这类安全关键件，主机厂应要求供应商提供可审计的过程数据，而不仅是最终检验报告。</w:t>
      </w:r>
    </w:p>
    <w:p>
      <w:pPr>
        <w:spacing w:line="360" w:lineRule="auto" w:after="120"/>
        <w:ind w:firstLine="420"/>
      </w:pPr>
      <w:r>
        <w:rPr>
          <w:rFonts w:ascii="仿宋" w:hAnsi="仿宋" w:eastAsia="仿宋"/>
          <w:b w:val="0"/>
          <w:i w:val="0"/>
          <w:sz w:val="24"/>
        </w:rPr>
        <w:t>从8D与5Why分析视角看，该事件的整改难点在于不能停留在“用户续航下降”“充电变慢”“电池包异常”这些表层现象。进一步追问至少应包括：为什么电池包性能下降？是单体电芯一致性问题、模组设计问题、BMS估算偏差，还是充放电策略导致？为什么问题在交付初期没有暴露？是验证周期不足、测试工况覆盖不够，还是抽样方案未能识别批次差异？为什么售后投诉增长后没有更早形成批量预警？是售后数据未与供应商质量系统打通，还是问题分级和升级机制不够灵敏？只有将5Why分析推进到设计验证、过程控制、数据预警和责任边界层面，8D整改才可能形成永久措施。</w:t>
      </w:r>
    </w:p>
    <w:p>
      <w:pPr>
        <w:spacing w:line="360" w:lineRule="auto" w:after="120"/>
        <w:ind w:firstLine="420"/>
      </w:pPr>
      <w:r>
        <w:rPr>
          <w:rFonts w:ascii="仿宋" w:hAnsi="仿宋" w:eastAsia="仿宋"/>
          <w:b w:val="0"/>
          <w:i w:val="0"/>
          <w:sz w:val="24"/>
        </w:rPr>
        <w:t>从全生命周期追溯视角看，动力电池质量管理需要实现从原材料、电芯制造、模组装配、电池包集成、整车装配到售后运行数据的连续追溯。若主机厂只能追溯到电池包或供应商批次，而不能进一步穿透到电芯批次、关键工艺参数、化成分容数据和装车VIN之间的对应关系，则问题发生后很难快速界定风险范围，也难以精准召回或定向更换。该事件说明，新能源供应商质量管理的追溯对象不能停留在一级供应商层面，而应延伸至关键二级材料、关键工序和售后运行数据。</w:t>
      </w:r>
    </w:p>
    <w:p>
      <w:pPr>
        <w:spacing w:line="360" w:lineRule="auto" w:after="120"/>
        <w:ind w:firstLine="420"/>
      </w:pPr>
      <w:r>
        <w:rPr>
          <w:rFonts w:ascii="仿宋" w:hAnsi="仿宋" w:eastAsia="仿宋"/>
          <w:b w:val="0"/>
          <w:i w:val="0"/>
          <w:sz w:val="24"/>
        </w:rPr>
        <w:t>从长期可靠性验证视角看，动力电池质量风险具有明显的时间滞后性。内阻异常升高、容量衰减加快、热失控风险增加等问题，往往需要经过多轮循环、复杂温度环境和用户真实使用工况后才会显现。因此，主机厂和供应商在量产前应强化耐久循环测试、高低温充放电测试、快充滥用测试、热扩散测试以及BMS策略匹配验证。尤其在新平台、新电芯体系或新供应商产能快速爬坡阶段，应建立更保守的放行机制和更高频的量产初期质量监控。</w:t>
      </w:r>
    </w:p>
    <w:p>
      <w:pPr>
        <w:jc w:val="center"/>
      </w:pPr>
      <w:r>
        <w:rPr>
          <w:rFonts w:ascii="黑体" w:hAnsi="黑体" w:eastAsia="黑体"/>
          <w:b/>
          <w:i w:val="0"/>
          <w:sz w:val="21"/>
        </w:rPr>
        <w:t>表3</w:t>
      </w:r>
    </w:p>
    <w:tbl>
      <w:tblPr>
        <w:tblStyle w:val="TableGrid"/>
        <w:tblW w:type="auto" w:w="0"/>
        <w:tblLook w:firstColumn="1" w:firstRow="1" w:lastColumn="0" w:lastRow="0" w:noHBand="0" w:noVBand="1" w:val="04A0"/>
      </w:tblPr>
      <w:tblGrid>
        <w:gridCol w:w="2882"/>
        <w:gridCol w:w="2882"/>
        <w:gridCol w:w="2882"/>
      </w:tblGrid>
      <w:tr>
        <w:tc>
          <w:tcPr>
            <w:tcW w:type="dxa" w:w="2882"/>
          </w:tcPr>
          <w:p>
            <w:r>
              <w:rPr>
                <w:rFonts w:ascii="黑体" w:hAnsi="黑体" w:eastAsia="黑体"/>
                <w:b/>
                <w:i w:val="0"/>
                <w:sz w:val="21"/>
              </w:rPr>
              <w:t>工具名称</w:t>
            </w:r>
          </w:p>
        </w:tc>
        <w:tc>
          <w:tcPr>
            <w:tcW w:type="dxa" w:w="2882"/>
          </w:tcPr>
          <w:p>
            <w:r>
              <w:rPr>
                <w:rFonts w:ascii="黑体" w:hAnsi="黑体" w:eastAsia="黑体"/>
                <w:b/>
                <w:i w:val="0"/>
                <w:sz w:val="21"/>
              </w:rPr>
              <w:t>识别的失效点</w:t>
            </w:r>
          </w:p>
        </w:tc>
        <w:tc>
          <w:tcPr>
            <w:tcW w:type="dxa" w:w="2882"/>
          </w:tcPr>
          <w:p>
            <w:r>
              <w:rPr>
                <w:rFonts w:ascii="黑体" w:hAnsi="黑体" w:eastAsia="黑体"/>
                <w:b/>
                <w:i w:val="0"/>
                <w:sz w:val="21"/>
              </w:rPr>
              <w:t>对应改进措施</w:t>
            </w:r>
          </w:p>
        </w:tc>
      </w:tr>
      <w:tr>
        <w:tc>
          <w:tcPr>
            <w:tcW w:type="dxa" w:w="2882"/>
          </w:tcPr>
          <w:p>
            <w:r>
              <w:rPr>
                <w:rFonts w:ascii="仿宋" w:hAnsi="仿宋" w:eastAsia="仿宋"/>
                <w:b w:val="0"/>
                <w:i w:val="0"/>
                <w:sz w:val="21"/>
              </w:rPr>
              <w:t>APQP</w:t>
            </w:r>
          </w:p>
        </w:tc>
        <w:tc>
          <w:tcPr>
            <w:tcW w:type="dxa" w:w="2882"/>
          </w:tcPr>
          <w:p>
            <w:r>
              <w:rPr>
                <w:rFonts w:ascii="仿宋" w:hAnsi="仿宋" w:eastAsia="仿宋"/>
                <w:b w:val="0"/>
                <w:i w:val="0"/>
                <w:sz w:val="21"/>
              </w:rPr>
              <w:t>早期质量策划对电芯长期一致性、容量衰减、内阻增长等风险识别不足</w:t>
            </w:r>
          </w:p>
        </w:tc>
        <w:tc>
          <w:tcPr>
            <w:tcW w:type="dxa" w:w="2882"/>
          </w:tcPr>
          <w:p>
            <w:r>
              <w:rPr>
                <w:rFonts w:ascii="仿宋" w:hAnsi="仿宋" w:eastAsia="仿宋"/>
                <w:b w:val="0"/>
                <w:i w:val="0"/>
                <w:sz w:val="21"/>
              </w:rPr>
              <w:t>将电芯一致性、长期衰减和极端工况表现纳入特殊特性清单，前置开展系统级风险评审</w:t>
            </w:r>
          </w:p>
        </w:tc>
      </w:tr>
      <w:tr>
        <w:tc>
          <w:tcPr>
            <w:tcW w:type="dxa" w:w="2882"/>
          </w:tcPr>
          <w:p>
            <w:r>
              <w:rPr>
                <w:rFonts w:ascii="仿宋" w:hAnsi="仿宋" w:eastAsia="仿宋"/>
                <w:b w:val="0"/>
                <w:i w:val="0"/>
                <w:sz w:val="21"/>
              </w:rPr>
              <w:t>SPC</w:t>
            </w:r>
          </w:p>
        </w:tc>
        <w:tc>
          <w:tcPr>
            <w:tcW w:type="dxa" w:w="2882"/>
          </w:tcPr>
          <w:p>
            <w:r>
              <w:rPr>
                <w:rFonts w:ascii="仿宋" w:hAnsi="仿宋" w:eastAsia="仿宋"/>
                <w:b w:val="0"/>
                <w:i w:val="0"/>
                <w:sz w:val="21"/>
              </w:rPr>
              <w:t>电芯容量、内阻、电压平台等关键过程参数的批次离散趋势可能未被及时预警</w:t>
            </w:r>
          </w:p>
        </w:tc>
        <w:tc>
          <w:tcPr>
            <w:tcW w:type="dxa" w:w="2882"/>
          </w:tcPr>
          <w:p>
            <w:r>
              <w:rPr>
                <w:rFonts w:ascii="仿宋" w:hAnsi="仿宋" w:eastAsia="仿宋"/>
                <w:b w:val="0"/>
                <w:i w:val="0"/>
                <w:sz w:val="21"/>
              </w:rPr>
              <w:t>对关键工序建立SPC监控，设定过程能力和趋势预警规则，要求供应商提供可审计过程数据</w:t>
            </w:r>
          </w:p>
        </w:tc>
      </w:tr>
      <w:tr>
        <w:tc>
          <w:tcPr>
            <w:tcW w:type="dxa" w:w="2882"/>
          </w:tcPr>
          <w:p>
            <w:r>
              <w:rPr>
                <w:rFonts w:ascii="仿宋" w:hAnsi="仿宋" w:eastAsia="仿宋"/>
                <w:b w:val="0"/>
                <w:i w:val="0"/>
                <w:sz w:val="21"/>
              </w:rPr>
              <w:t>8D + 5Why</w:t>
            </w:r>
          </w:p>
        </w:tc>
        <w:tc>
          <w:tcPr>
            <w:tcW w:type="dxa" w:w="2882"/>
          </w:tcPr>
          <w:p>
            <w:r>
              <w:rPr>
                <w:rFonts w:ascii="仿宋" w:hAnsi="仿宋" w:eastAsia="仿宋"/>
                <w:b w:val="0"/>
                <w:i w:val="0"/>
                <w:sz w:val="21"/>
              </w:rPr>
              <w:t>整改容易停留在续航下降、充电变慢等表层现象，未充分追溯设计验证、工艺波动和BMS匹配原因</w:t>
            </w:r>
          </w:p>
        </w:tc>
        <w:tc>
          <w:tcPr>
            <w:tcW w:type="dxa" w:w="2882"/>
          </w:tcPr>
          <w:p>
            <w:r>
              <w:rPr>
                <w:rFonts w:ascii="仿宋" w:hAnsi="仿宋" w:eastAsia="仿宋"/>
                <w:b w:val="0"/>
                <w:i w:val="0"/>
                <w:sz w:val="21"/>
              </w:rPr>
              <w:t>要求8D报告包含真因验证、永久措施、横向展开和效果验证，并将售后投诉数据纳入问题升级机制</w:t>
            </w:r>
          </w:p>
        </w:tc>
      </w:tr>
      <w:tr>
        <w:tc>
          <w:tcPr>
            <w:tcW w:type="dxa" w:w="2882"/>
          </w:tcPr>
          <w:p>
            <w:r>
              <w:rPr>
                <w:rFonts w:ascii="仿宋" w:hAnsi="仿宋" w:eastAsia="仿宋"/>
                <w:b w:val="0"/>
                <w:i w:val="0"/>
                <w:sz w:val="21"/>
              </w:rPr>
              <w:t>全生命周期追溯</w:t>
            </w:r>
          </w:p>
        </w:tc>
        <w:tc>
          <w:tcPr>
            <w:tcW w:type="dxa" w:w="2882"/>
          </w:tcPr>
          <w:p>
            <w:r>
              <w:rPr>
                <w:rFonts w:ascii="仿宋" w:hAnsi="仿宋" w:eastAsia="仿宋"/>
                <w:b w:val="0"/>
                <w:i w:val="0"/>
                <w:sz w:val="21"/>
              </w:rPr>
              <w:t>追溯链条可能停留在电池包或供应商批次，难以穿透到电芯批次、关键工艺参数和装车VIN</w:t>
            </w:r>
          </w:p>
        </w:tc>
        <w:tc>
          <w:tcPr>
            <w:tcW w:type="dxa" w:w="2882"/>
          </w:tcPr>
          <w:p>
            <w:r>
              <w:rPr>
                <w:rFonts w:ascii="仿宋" w:hAnsi="仿宋" w:eastAsia="仿宋"/>
                <w:b w:val="0"/>
                <w:i w:val="0"/>
                <w:sz w:val="21"/>
              </w:rPr>
              <w:t>建立原材料、电芯、模组、电池包、整车VIN和售后运行数据的贯通追溯机制</w:t>
            </w:r>
          </w:p>
        </w:tc>
      </w:tr>
      <w:tr>
        <w:tc>
          <w:tcPr>
            <w:tcW w:type="dxa" w:w="2882"/>
          </w:tcPr>
          <w:p>
            <w:r>
              <w:rPr>
                <w:rFonts w:ascii="仿宋" w:hAnsi="仿宋" w:eastAsia="仿宋"/>
                <w:b w:val="0"/>
                <w:i w:val="0"/>
                <w:sz w:val="21"/>
              </w:rPr>
              <w:t>长期可靠性验证</w:t>
            </w:r>
          </w:p>
        </w:tc>
        <w:tc>
          <w:tcPr>
            <w:tcW w:type="dxa" w:w="2882"/>
          </w:tcPr>
          <w:p>
            <w:r>
              <w:rPr>
                <w:rFonts w:ascii="仿宋" w:hAnsi="仿宋" w:eastAsia="仿宋"/>
                <w:b w:val="0"/>
                <w:i w:val="0"/>
                <w:sz w:val="21"/>
              </w:rPr>
              <w:t>常规出厂检验难以覆盖长期循环、温度变化、高频快充等真实使用风险</w:t>
            </w:r>
          </w:p>
        </w:tc>
        <w:tc>
          <w:tcPr>
            <w:tcW w:type="dxa" w:w="2882"/>
          </w:tcPr>
          <w:p>
            <w:r>
              <w:rPr>
                <w:rFonts w:ascii="仿宋" w:hAnsi="仿宋" w:eastAsia="仿宋"/>
                <w:b w:val="0"/>
                <w:i w:val="0"/>
                <w:sz w:val="21"/>
              </w:rPr>
              <w:t>增加耐久循环、高低温充放电、快充滥用、热扩散和BMS策略匹配验证，并强化量产初期监控</w:t>
            </w:r>
          </w:p>
        </w:tc>
      </w:tr>
    </w:tbl>
    <w:p/>
    <w:p>
      <w:pPr>
        <w:spacing w:line="360" w:lineRule="auto" w:after="120"/>
        <w:ind w:firstLine="420"/>
      </w:pPr>
      <w:r>
        <w:rPr>
          <w:rFonts w:ascii="仿宋" w:hAnsi="仿宋" w:eastAsia="仿宋"/>
          <w:b w:val="0"/>
          <w:i w:val="0"/>
          <w:sz w:val="24"/>
        </w:rPr>
        <w:t>5.2.2.4 教训与启示</w:t>
      </w:r>
    </w:p>
    <w:p>
      <w:pPr>
        <w:spacing w:line="360" w:lineRule="auto" w:after="120"/>
        <w:ind w:firstLine="420"/>
      </w:pPr>
      <w:r>
        <w:rPr>
          <w:rFonts w:ascii="仿宋" w:hAnsi="仿宋" w:eastAsia="仿宋"/>
          <w:b w:val="0"/>
          <w:i w:val="0"/>
          <w:sz w:val="24"/>
        </w:rPr>
        <w:t>第一，关联供应商不应降低质量审核独立性。主机厂与供应商存在股权合作或战略绑定关系时，容易在产能保障、成本协同和项目进度压力下弱化质量红线。对于动力电池等安全关键件，主机厂应建立独立于采购和项目进度的质量审核机制，对特殊特性、过程能力、批次一致性和售后异常趋势进行刚性把关。</w:t>
      </w:r>
    </w:p>
    <w:p>
      <w:pPr>
        <w:spacing w:line="360" w:lineRule="auto" w:after="120"/>
        <w:ind w:firstLine="420"/>
      </w:pPr>
      <w:r>
        <w:rPr>
          <w:rFonts w:ascii="仿宋" w:hAnsi="仿宋" w:eastAsia="仿宋"/>
          <w:b w:val="0"/>
          <w:i w:val="0"/>
          <w:sz w:val="24"/>
        </w:rPr>
        <w:t>第二，新能源三电质量管控必须从零件检验转向系统验证。电芯本身合格并不必然代表整包和整车表现稳定，BMS策略合理也不能替代电芯制造一致性控制。主机厂应推动电芯供应商、电池包集成团队、BMS开发团队和整车质量部门共同参与验证，形成“电芯—模组—电池包—整车—售后数据”的闭环质量管理机制。</w:t>
      </w:r>
    </w:p>
    <w:p>
      <w:pPr>
        <w:spacing w:line="360" w:lineRule="auto" w:after="120"/>
        <w:ind w:firstLine="420"/>
      </w:pPr>
      <w:r>
        <w:rPr>
          <w:rFonts w:ascii="仿宋" w:hAnsi="仿宋" w:eastAsia="仿宋"/>
          <w:b w:val="0"/>
          <w:i w:val="0"/>
          <w:sz w:val="24"/>
        </w:rPr>
        <w:t>第三，供应商质量绩效评价应加入长期可靠性指标。传统PPM、来料合格率和8D闭环率主要反映短期交付质量，对动力电池这类长期使用后暴露风险的零部件覆盖不足。建议将容量保持率、内阻增长率、快充性能衰减、热安全异常、售后故障提前预警率等指标纳入供应商质量评价体系。</w:t>
      </w:r>
    </w:p>
    <w:p>
      <w:pPr>
        <w:spacing w:line="360" w:lineRule="auto" w:after="120"/>
        <w:ind w:firstLine="420"/>
      </w:pPr>
      <w:r>
        <w:rPr>
          <w:rFonts w:ascii="仿宋" w:hAnsi="仿宋" w:eastAsia="仿宋"/>
          <w:b w:val="0"/>
          <w:i w:val="0"/>
          <w:sz w:val="24"/>
        </w:rPr>
        <w:t>第四，规模扩张必须与品控能力同步匹配。新能源汽车市场快速增长容易推动供应商快速扩产，但产能爬坡阶段往往也是过程波动和质量风险高发阶段。主机厂在导入新供应商或扩大供应份额时，应同步评估其设备能力、过程稳定性、数据追溯能力和异常处理能力，避免“产能先行、质量滞后”。</w:t>
      </w:r>
    </w:p>
    <w:p>
      <w:pPr>
        <w:spacing w:line="360" w:lineRule="auto" w:after="120"/>
        <w:ind w:firstLine="420"/>
      </w:pPr>
      <w:r>
        <w:rPr>
          <w:rFonts w:ascii="仿宋" w:hAnsi="仿宋" w:eastAsia="仿宋"/>
          <w:b w:val="0"/>
          <w:i w:val="0"/>
          <w:sz w:val="24"/>
        </w:rPr>
        <w:t>综上，欣旺达动力电池事件的管理启示不在于简单追究某一方责任，而在于揭示新能源供应链质量管理的系统性难题：关键零部件质量风险具有长期性、隐蔽性和系统耦合性。吉利汽车后续应在三电供应商准入、过程能力监控、长期可靠性验证、售后数据预警和质量责任边界管理方面进一步强化机制设计，以降低类似批量质量事件再次发生的概率。</w:t>
      </w:r>
    </w:p>
    <w:p>
      <w:pPr>
        <w:spacing w:line="360" w:lineRule="auto" w:after="120"/>
        <w:ind w:firstLine="420"/>
      </w:pPr>
      <w:r>
        <w:rPr>
          <w:rFonts w:ascii="仿宋" w:hAnsi="仿宋" w:eastAsia="仿宋"/>
          <w:b w:val="0"/>
          <w:i w:val="0"/>
          <w:sz w:val="24"/>
        </w:rPr>
        <w:t>本案例分析基于公开信息及质量管理工具视角，仅供学术讨论，不构成法律或商业责任认定。</w:t>
      </w:r>
    </w:p>
    <w:p>
      <w:pPr>
        <w:spacing w:before="120" w:after="60" w:line="360" w:lineRule="auto"/>
      </w:pPr>
      <w:r>
        <w:rPr>
          <w:rFonts w:ascii="黑体" w:hAnsi="黑体" w:eastAsia="黑体"/>
          <w:b/>
          <w:i w:val="0"/>
          <w:sz w:val="24"/>
        </w:rPr>
        <w:t>5.2.3 核心电子零部件对外依赖度较高。</w:t>
      </w:r>
    </w:p>
    <w:p>
      <w:pPr>
        <w:spacing w:line="360" w:lineRule="auto" w:after="120"/>
        <w:ind w:firstLine="420"/>
      </w:pPr>
      <w:r>
        <w:rPr>
          <w:rFonts w:ascii="仿宋" w:hAnsi="仿宋" w:eastAsia="仿宋"/>
          <w:b w:val="0"/>
          <w:i w:val="0"/>
          <w:sz w:val="24"/>
        </w:rPr>
        <w:t>工信部数据显示，2023 年中国汽车产业超过 90%的芯片需进口，计算与控</w:t>
      </w:r>
    </w:p>
    <w:p>
      <w:pPr>
        <w:spacing w:line="360" w:lineRule="auto" w:after="120"/>
        <w:ind w:firstLine="420"/>
      </w:pPr>
      <w:r>
        <w:rPr>
          <w:rFonts w:ascii="仿宋" w:hAnsi="仿宋" w:eastAsia="仿宋"/>
          <w:b w:val="0"/>
          <w:i w:val="0"/>
          <w:sz w:val="24"/>
        </w:rPr>
        <w:t>制类芯片依赖度达99%。2024至2025年间，吉利系企业因海外供应商质量波动</w:t>
      </w:r>
    </w:p>
    <w:p>
      <w:pPr>
        <w:spacing w:line="360" w:lineRule="auto" w:after="120"/>
        <w:ind w:firstLine="420"/>
      </w:pPr>
      <w:r>
        <w:rPr>
          <w:rFonts w:ascii="仿宋" w:hAnsi="仿宋" w:eastAsia="仿宋"/>
          <w:b w:val="0"/>
          <w:i w:val="0"/>
          <w:sz w:val="24"/>
        </w:rPr>
        <w:t>发生3次短期生产调整，供应链存在外部不确定性风险。</w:t>
      </w:r>
    </w:p>
    <w:p>
      <w:pPr>
        <w:spacing w:line="360" w:lineRule="auto" w:after="120"/>
        <w:ind w:firstLine="420"/>
      </w:pPr>
      <w:r>
        <w:rPr>
          <w:rFonts w:ascii="仿宋" w:hAnsi="仿宋" w:eastAsia="仿宋"/>
          <w:b w:val="0"/>
          <w:i w:val="0"/>
          <w:sz w:val="24"/>
        </w:rPr>
        <w:t>上述问题反映出：新能源零部件质量风险已从单一供应商传导至多品牌、跨</w:t>
      </w:r>
    </w:p>
    <w:p>
      <w:pPr>
        <w:spacing w:line="360" w:lineRule="auto" w:after="120"/>
        <w:ind w:firstLine="420"/>
      </w:pPr>
      <w:r>
        <w:rPr>
          <w:rFonts w:ascii="仿宋" w:hAnsi="仿宋" w:eastAsia="仿宋"/>
          <w:b w:val="0"/>
          <w:i w:val="0"/>
          <w:sz w:val="24"/>
        </w:rPr>
        <w:t>区域层面，对产品可靠性与品牌声誉构成实质性影响。</w:t>
      </w:r>
    </w:p>
    <w:p>
      <w:pPr>
        <w:spacing w:before="240" w:after="120" w:line="360" w:lineRule="auto"/>
      </w:pPr>
      <w:r>
        <w:rPr>
          <w:rFonts w:ascii="黑体" w:hAnsi="黑体" w:eastAsia="黑体"/>
          <w:b/>
          <w:i w:val="0"/>
          <w:sz w:val="28"/>
        </w:rPr>
        <w:t>5.3 质量改进协同效率待提升</w:t>
      </w:r>
    </w:p>
    <w:p>
      <w:pPr>
        <w:spacing w:line="360" w:lineRule="auto" w:after="120"/>
        <w:ind w:firstLine="420"/>
      </w:pPr>
      <w:r>
        <w:rPr>
          <w:rFonts w:ascii="仿宋" w:hAnsi="仿宋" w:eastAsia="仿宋"/>
          <w:b w:val="0"/>
          <w:i w:val="0"/>
          <w:sz w:val="24"/>
        </w:rPr>
        <w:t>1. 供应商质量整改存在形式化倾向。部分供应商提交的8D报告未能触及问</w:t>
      </w:r>
    </w:p>
    <w:p>
      <w:pPr>
        <w:spacing w:line="360" w:lineRule="auto" w:after="120"/>
        <w:ind w:firstLine="420"/>
      </w:pPr>
      <w:r>
        <w:rPr>
          <w:rFonts w:ascii="仿宋" w:hAnsi="仿宋" w:eastAsia="仿宋"/>
          <w:b w:val="0"/>
          <w:i w:val="0"/>
          <w:sz w:val="24"/>
        </w:rPr>
        <w:t>题根源，整改措施执行不到位，导致同类质量问题反复出现。上述电池质量事件</w:t>
      </w:r>
    </w:p>
    <w:p>
      <w:pPr>
        <w:spacing w:line="360" w:lineRule="auto" w:after="120"/>
        <w:ind w:firstLine="420"/>
      </w:pPr>
      <w:r>
        <w:rPr>
          <w:rFonts w:ascii="仿宋" w:hAnsi="仿宋" w:eastAsia="仿宋"/>
          <w:b w:val="0"/>
          <w:i w:val="0"/>
          <w:sz w:val="24"/>
        </w:rPr>
        <w:t>从2023年用户投诉涌现到2025年末进入诉讼程序，历经两年以上时间未能通过</w:t>
      </w:r>
    </w:p>
    <w:p>
      <w:pPr>
        <w:spacing w:line="360" w:lineRule="auto" w:after="120"/>
        <w:ind w:firstLine="420"/>
      </w:pPr>
      <w:r>
        <w:rPr>
          <w:rFonts w:ascii="仿宋" w:hAnsi="仿宋" w:eastAsia="仿宋"/>
          <w:b w:val="0"/>
          <w:i w:val="0"/>
          <w:sz w:val="24"/>
        </w:rPr>
        <w:t>常规整改机制闭环，反映出供应商协同整改效率的不足。</w:t>
      </w:r>
    </w:p>
    <w:p>
      <w:pPr>
        <w:spacing w:line="360" w:lineRule="auto" w:after="120"/>
        <w:ind w:firstLine="420"/>
      </w:pPr>
      <w:r>
        <w:rPr>
          <w:rFonts w:ascii="仿宋" w:hAnsi="仿宋" w:eastAsia="仿宋"/>
          <w:b w:val="0"/>
          <w:i w:val="0"/>
          <w:sz w:val="24"/>
        </w:rPr>
        <w:t>2. 跨区域供应商质量协同成本较高。海外及跨区域供应商在质量审核、问题</w:t>
      </w:r>
    </w:p>
    <w:p>
      <w:pPr>
        <w:spacing w:line="360" w:lineRule="auto" w:after="120"/>
        <w:ind w:firstLine="420"/>
      </w:pPr>
      <w:r>
        <w:rPr>
          <w:rFonts w:ascii="仿宋" w:hAnsi="仿宋" w:eastAsia="仿宋"/>
          <w:b w:val="0"/>
          <w:i w:val="0"/>
          <w:sz w:val="24"/>
        </w:rPr>
        <w:t>沟通和整改推进方面面临语言、时区、标准差异等障碍。据内部评估，海外供应</w:t>
      </w:r>
    </w:p>
    <w:p>
      <w:pPr>
        <w:spacing w:line="360" w:lineRule="auto" w:after="120"/>
        <w:ind w:firstLine="420"/>
      </w:pPr>
      <w:r>
        <w:rPr>
          <w:rFonts w:ascii="仿宋" w:hAnsi="仿宋" w:eastAsia="仿宋"/>
          <w:b w:val="0"/>
          <w:i w:val="0"/>
          <w:sz w:val="24"/>
        </w:rPr>
        <w:t>商质量问题整改周期较国内供应商平均延长约30%。</w:t>
      </w:r>
    </w:p>
    <w:p>
      <w:pPr>
        <w:spacing w:line="360" w:lineRule="auto" w:after="120"/>
        <w:ind w:firstLine="420"/>
      </w:pPr>
      <w:r>
        <w:rPr>
          <w:rFonts w:ascii="仿宋" w:hAnsi="仿宋" w:eastAsia="仿宋"/>
          <w:b w:val="0"/>
          <w:i w:val="0"/>
          <w:sz w:val="24"/>
        </w:rPr>
        <w:t>3. 质量改进协同效率问题表明：现有供应商质量管理流程在问题追溯、责任</w:t>
      </w:r>
    </w:p>
    <w:p>
      <w:pPr>
        <w:spacing w:line="360" w:lineRule="auto" w:after="120"/>
        <w:ind w:firstLine="420"/>
      </w:pPr>
      <w:r>
        <w:rPr>
          <w:rFonts w:ascii="仿宋" w:hAnsi="仿宋" w:eastAsia="仿宋"/>
          <w:b w:val="0"/>
          <w:i w:val="0"/>
          <w:sz w:val="24"/>
        </w:rPr>
        <w:t>认定和整改验收等环节仍需进一步强化。</w:t>
      </w:r>
    </w:p>
    <w:p>
      <w:pPr>
        <w:spacing w:before="240" w:after="120" w:line="360" w:lineRule="auto"/>
      </w:pPr>
      <w:r>
        <w:rPr>
          <w:rFonts w:ascii="黑体" w:hAnsi="黑体" w:eastAsia="黑体"/>
          <w:b/>
          <w:i w:val="0"/>
          <w:sz w:val="28"/>
        </w:rPr>
        <w:t>5.4 可持续质量管控深度不足</w:t>
      </w:r>
    </w:p>
    <w:p>
      <w:pPr>
        <w:spacing w:line="360" w:lineRule="auto" w:after="120"/>
        <w:ind w:firstLine="420"/>
      </w:pPr>
      <w:r>
        <w:rPr>
          <w:rFonts w:ascii="仿宋" w:hAnsi="仿宋" w:eastAsia="仿宋"/>
          <w:b w:val="0"/>
          <w:i w:val="0"/>
          <w:sz w:val="24"/>
        </w:rPr>
        <w:t>1. 非核心供应商绿色质量达标率偏低。据吉利 ESG 实践披露，核心供应商</w:t>
      </w:r>
    </w:p>
    <w:p>
      <w:pPr>
        <w:spacing w:line="360" w:lineRule="auto" w:after="120"/>
        <w:ind w:firstLine="420"/>
      </w:pPr>
      <w:r>
        <w:rPr>
          <w:rFonts w:ascii="仿宋" w:hAnsi="仿宋" w:eastAsia="仿宋"/>
          <w:b w:val="0"/>
          <w:i w:val="0"/>
          <w:sz w:val="24"/>
        </w:rPr>
        <w:t>绿电使用率已超50%，近半达到100%，但非核心供应商群体中仅约30%满足绿</w:t>
      </w:r>
    </w:p>
    <w:p>
      <w:pPr>
        <w:spacing w:line="360" w:lineRule="auto" w:after="120"/>
        <w:ind w:firstLine="420"/>
      </w:pPr>
      <w:r>
        <w:rPr>
          <w:rFonts w:ascii="仿宋" w:hAnsi="仿宋" w:eastAsia="仿宋"/>
          <w:b w:val="0"/>
          <w:i w:val="0"/>
          <w:sz w:val="24"/>
        </w:rPr>
        <w:t>色质量要求。绿色制造标准尚未在全供应链实现有效传导。</w:t>
      </w:r>
    </w:p>
    <w:p>
      <w:pPr>
        <w:spacing w:line="360" w:lineRule="auto" w:after="120"/>
        <w:ind w:firstLine="420"/>
      </w:pPr>
      <w:r>
        <w:rPr>
          <w:rFonts w:ascii="仿宋" w:hAnsi="仿宋" w:eastAsia="仿宋"/>
          <w:b w:val="0"/>
          <w:i w:val="0"/>
          <w:sz w:val="24"/>
        </w:rPr>
        <w:t>2. 次级供应商质量穿透管控不足。2024年统计显示，因二三级供应商质量问</w:t>
      </w:r>
    </w:p>
    <w:p>
      <w:pPr>
        <w:spacing w:line="360" w:lineRule="auto" w:after="120"/>
        <w:ind w:firstLine="420"/>
      </w:pPr>
      <w:r>
        <w:rPr>
          <w:rFonts w:ascii="仿宋" w:hAnsi="仿宋" w:eastAsia="仿宋"/>
          <w:b w:val="0"/>
          <w:i w:val="0"/>
          <w:sz w:val="24"/>
        </w:rPr>
        <w:t>题导致的零部件不良率占总不良率的 8%。上述电池质量事件中，电芯“制造一</w:t>
      </w:r>
    </w:p>
    <w:p>
      <w:pPr>
        <w:spacing w:line="360" w:lineRule="auto" w:after="120"/>
        <w:ind w:firstLine="420"/>
      </w:pPr>
      <w:r>
        <w:rPr>
          <w:rFonts w:ascii="仿宋" w:hAnsi="仿宋" w:eastAsia="仿宋"/>
          <w:b w:val="0"/>
          <w:i w:val="0"/>
          <w:sz w:val="24"/>
        </w:rPr>
        <w:t>致性不足”问题的根源可能涉及上游原材料供应商的品质波动，而现行质量管控</w:t>
      </w:r>
    </w:p>
    <w:p>
      <w:pPr>
        <w:spacing w:line="360" w:lineRule="auto" w:after="120"/>
        <w:ind w:firstLine="420"/>
      </w:pPr>
      <w:r>
        <w:rPr>
          <w:rFonts w:ascii="仿宋" w:hAnsi="仿宋" w:eastAsia="仿宋"/>
          <w:b w:val="0"/>
          <w:i w:val="0"/>
          <w:sz w:val="24"/>
        </w:rPr>
        <w:t>体系对一级以下供应商的覆盖能力有限，存在管控盲区。</w:t>
      </w:r>
    </w:p>
    <w:p>
      <w:pPr>
        <w:spacing w:line="360" w:lineRule="auto" w:after="120"/>
        <w:ind w:firstLine="420"/>
      </w:pPr>
      <w:r>
        <w:rPr>
          <w:rFonts w:ascii="仿宋" w:hAnsi="仿宋" w:eastAsia="仿宋"/>
          <w:b w:val="0"/>
          <w:i w:val="0"/>
          <w:sz w:val="24"/>
        </w:rPr>
        <w:t>可持续质量管控的深度不足，意味着吉利供应链质量体系在绿色合规与全链</w:t>
      </w:r>
    </w:p>
    <w:p>
      <w:pPr>
        <w:spacing w:line="360" w:lineRule="auto" w:after="120"/>
        <w:ind w:firstLine="420"/>
      </w:pPr>
      <w:r>
        <w:rPr>
          <w:rFonts w:ascii="仿宋" w:hAnsi="仿宋" w:eastAsia="仿宋"/>
          <w:b w:val="0"/>
          <w:i w:val="0"/>
          <w:sz w:val="24"/>
        </w:rPr>
        <w:t>条穿透管理方面仍有较大完善空间。</w:t>
      </w:r>
    </w:p>
    <w:p>
      <w:pPr>
        <w:spacing w:line="360" w:lineRule="auto" w:after="120"/>
        <w:ind w:firstLine="420"/>
      </w:pPr>
      <w:r>
        <w:rPr>
          <w:rFonts w:ascii="仿宋" w:hAnsi="仿宋" w:eastAsia="仿宋"/>
          <w:b w:val="0"/>
          <w:i w:val="0"/>
          <w:sz w:val="24"/>
        </w:rPr>
        <w:t>小结：以上四个方面的质量问题，既反映出吉利在供应商基础能力建设、新</w:t>
      </w:r>
    </w:p>
    <w:p>
      <w:pPr>
        <w:spacing w:line="360" w:lineRule="auto" w:after="120"/>
        <w:ind w:firstLine="420"/>
      </w:pPr>
      <w:r>
        <w:rPr>
          <w:rFonts w:ascii="仿宋" w:hAnsi="仿宋" w:eastAsia="仿宋"/>
          <w:b w:val="0"/>
          <w:i w:val="0"/>
          <w:sz w:val="24"/>
        </w:rPr>
        <w:t>能源零部件风险防控、整改协同效率及可持续管控深度等方面面临的现实挑战，</w:t>
      </w:r>
    </w:p>
    <w:p>
      <w:pPr>
        <w:spacing w:line="360" w:lineRule="auto" w:after="120"/>
        <w:ind w:firstLine="420"/>
      </w:pPr>
      <w:r>
        <w:rPr>
          <w:rFonts w:ascii="仿宋" w:hAnsi="仿宋" w:eastAsia="仿宋"/>
          <w:b w:val="0"/>
          <w:i w:val="0"/>
          <w:sz w:val="24"/>
        </w:rPr>
        <w:t>也为后续制定针对性改进措施提供了明确的问题导向依据。其中，欣旺达电池质</w:t>
      </w:r>
    </w:p>
    <w:p>
      <w:pPr>
        <w:spacing w:line="360" w:lineRule="auto" w:after="120"/>
        <w:ind w:firstLine="420"/>
      </w:pPr>
      <w:r>
        <w:rPr>
          <w:rFonts w:ascii="仿宋" w:hAnsi="仿宋" w:eastAsia="仿宋"/>
          <w:b w:val="0"/>
          <w:i w:val="0"/>
          <w:sz w:val="24"/>
        </w:rPr>
        <w:t>量事件作为贯穿本章的核心案例，集中体现了中小供应商快速扩张中的品控失</w:t>
      </w:r>
    </w:p>
    <w:p>
      <w:pPr>
        <w:spacing w:line="360" w:lineRule="auto" w:after="120"/>
        <w:ind w:firstLine="420"/>
      </w:pPr>
      <w:r>
        <w:rPr>
          <w:rFonts w:ascii="仿宋" w:hAnsi="仿宋" w:eastAsia="仿宋"/>
          <w:b w:val="0"/>
          <w:i w:val="0"/>
          <w:sz w:val="24"/>
        </w:rPr>
        <w:t>守、质量责任界定的技术复杂性、以及“先救火、后追责”被动应对模式的系统</w:t>
      </w:r>
    </w:p>
    <w:p>
      <w:pPr>
        <w:spacing w:line="360" w:lineRule="auto" w:after="120"/>
        <w:ind w:firstLine="420"/>
      </w:pPr>
      <w:r>
        <w:rPr>
          <w:rFonts w:ascii="仿宋" w:hAnsi="仿宋" w:eastAsia="仿宋"/>
          <w:b w:val="0"/>
          <w:i w:val="0"/>
          <w:sz w:val="24"/>
        </w:rPr>
        <w:t>性弊端。</w:t>
      </w:r>
    </w:p>
    <w:p>
      <w:pPr>
        <w:spacing w:before="360" w:after="240" w:line="360" w:lineRule="auto"/>
        <w:jc w:val="center"/>
      </w:pPr>
      <w:r>
        <w:rPr>
          <w:rFonts w:ascii="黑体" w:hAnsi="黑体" w:eastAsia="黑体"/>
          <w:b/>
          <w:i w:val="0"/>
          <w:sz w:val="32"/>
        </w:rPr>
        <w:t>6 优化建议</w:t>
      </w:r>
    </w:p>
    <w:p>
      <w:pPr>
        <w:spacing w:before="240" w:after="120" w:line="360" w:lineRule="auto"/>
      </w:pPr>
      <w:r>
        <w:rPr>
          <w:rFonts w:ascii="黑体" w:hAnsi="黑体" w:eastAsia="黑体"/>
          <w:b/>
          <w:i w:val="0"/>
          <w:sz w:val="28"/>
        </w:rPr>
        <w:t>6.1 构建分级精准帮扶与数字化赋能体系</w:t>
      </w:r>
    </w:p>
    <w:p>
      <w:pPr>
        <w:spacing w:line="360" w:lineRule="auto" w:after="120"/>
        <w:ind w:firstLine="420"/>
      </w:pPr>
      <w:r>
        <w:rPr>
          <w:rFonts w:ascii="仿宋" w:hAnsi="仿宋" w:eastAsia="仿宋"/>
          <w:b w:val="0"/>
          <w:i w:val="0"/>
          <w:sz w:val="24"/>
        </w:rPr>
        <w:t>1. 建立中小供应商分级精准帮扶体系，按质量能力、规模、风险等级将中</w:t>
      </w:r>
    </w:p>
    <w:p>
      <w:pPr>
        <w:spacing w:line="360" w:lineRule="auto" w:after="120"/>
        <w:ind w:firstLine="420"/>
      </w:pPr>
      <w:r>
        <w:rPr>
          <w:rFonts w:ascii="仿宋" w:hAnsi="仿宋" w:eastAsia="仿宋"/>
          <w:b w:val="0"/>
          <w:i w:val="0"/>
          <w:sz w:val="24"/>
        </w:rPr>
        <w:t>小供应商分为培育类、扶持类、整改类。</w:t>
      </w:r>
    </w:p>
    <w:p>
      <w:pPr>
        <w:spacing w:line="360" w:lineRule="auto" w:after="120"/>
        <w:ind w:firstLine="420"/>
      </w:pPr>
      <w:r>
        <w:rPr>
          <w:rFonts w:ascii="仿宋" w:hAnsi="仿宋" w:eastAsia="仿宋"/>
          <w:b w:val="0"/>
          <w:i w:val="0"/>
          <w:sz w:val="24"/>
        </w:rPr>
        <w:t>对培育类提供免费体系培训、设备升级补贴、SQE 驻厂辅导。</w:t>
      </w:r>
    </w:p>
    <w:p>
      <w:pPr>
        <w:spacing w:line="360" w:lineRule="auto" w:after="120"/>
        <w:ind w:firstLine="420"/>
      </w:pPr>
      <w:r>
        <w:rPr>
          <w:rFonts w:ascii="仿宋" w:hAnsi="仿宋" w:eastAsia="仿宋"/>
          <w:b w:val="0"/>
          <w:i w:val="0"/>
          <w:sz w:val="24"/>
        </w:rPr>
        <w:t>2.推动中小供应商轻量化数字化改造，开放吉利轻量化质量数据平台，免费</w:t>
      </w:r>
    </w:p>
    <w:p>
      <w:pPr>
        <w:spacing w:line="360" w:lineRule="auto" w:after="120"/>
        <w:ind w:firstLine="420"/>
      </w:pPr>
      <w:r>
        <w:rPr>
          <w:rFonts w:ascii="仿宋" w:hAnsi="仿宋" w:eastAsia="仿宋"/>
          <w:b w:val="0"/>
          <w:i w:val="0"/>
          <w:sz w:val="24"/>
        </w:rPr>
        <w:t>提供简易版数据采集工具。强制要求关键零部件供应商实现生产数据、检验数据</w:t>
      </w:r>
    </w:p>
    <w:p>
      <w:pPr>
        <w:spacing w:line="360" w:lineRule="auto" w:after="120"/>
        <w:ind w:firstLine="420"/>
      </w:pPr>
      <w:r>
        <w:rPr>
          <w:rFonts w:ascii="仿宋" w:hAnsi="仿宋" w:eastAsia="仿宋"/>
          <w:b w:val="0"/>
          <w:i w:val="0"/>
          <w:sz w:val="24"/>
        </w:rPr>
        <w:t>实时上传，消除信息滞后。</w:t>
      </w:r>
    </w:p>
    <w:p>
      <w:pPr>
        <w:spacing w:line="360" w:lineRule="auto" w:after="120"/>
        <w:ind w:firstLine="420"/>
      </w:pPr>
      <w:r>
        <w:rPr>
          <w:rFonts w:ascii="仿宋" w:hAnsi="仿宋" w:eastAsia="仿宋"/>
          <w:b w:val="0"/>
          <w:i w:val="0"/>
          <w:sz w:val="24"/>
        </w:rPr>
        <w:t>3.实施 “1+1” 结对帮扶机制，安排 1 家战略供应商对口帮扶 1–2 家中</w:t>
      </w:r>
    </w:p>
    <w:p>
      <w:pPr>
        <w:spacing w:line="360" w:lineRule="auto" w:after="120"/>
        <w:ind w:firstLine="420"/>
      </w:pPr>
      <w:r>
        <w:rPr>
          <w:rFonts w:ascii="仿宋" w:hAnsi="仿宋" w:eastAsia="仿宋"/>
          <w:b w:val="0"/>
          <w:i w:val="0"/>
          <w:sz w:val="24"/>
        </w:rPr>
        <w:t>小供应商，共享工艺、质量控制方法。</w:t>
      </w:r>
    </w:p>
    <w:p>
      <w:pPr>
        <w:spacing w:line="360" w:lineRule="auto" w:after="120"/>
        <w:ind w:firstLine="420"/>
      </w:pPr>
      <w:r>
        <w:rPr>
          <w:rFonts w:ascii="仿宋" w:hAnsi="仿宋" w:eastAsia="仿宋"/>
          <w:b w:val="0"/>
          <w:i w:val="0"/>
          <w:sz w:val="24"/>
        </w:rPr>
        <w:t>4.强化准入与淘汰硬约束，对连续两个季度不达标、整改无效的中小供应商</w:t>
      </w:r>
    </w:p>
    <w:p>
      <w:pPr>
        <w:spacing w:line="360" w:lineRule="auto" w:after="120"/>
        <w:ind w:firstLine="420"/>
      </w:pPr>
      <w:r>
        <w:rPr>
          <w:rFonts w:ascii="仿宋" w:hAnsi="仿宋" w:eastAsia="仿宋"/>
          <w:b w:val="0"/>
          <w:i w:val="0"/>
          <w:sz w:val="24"/>
        </w:rPr>
        <w:t>坚决淘汰，避免风险累积。</w:t>
      </w:r>
    </w:p>
    <w:p>
      <w:pPr>
        <w:spacing w:before="240" w:after="120" w:line="360" w:lineRule="auto"/>
      </w:pPr>
      <w:r>
        <w:rPr>
          <w:rFonts w:ascii="黑体" w:hAnsi="黑体" w:eastAsia="黑体"/>
          <w:b/>
          <w:i w:val="0"/>
          <w:sz w:val="28"/>
        </w:rPr>
        <w:t>6.2 建立三电专属标准与全链条风险防控机制</w:t>
      </w:r>
    </w:p>
    <w:p>
      <w:pPr>
        <w:spacing w:line="360" w:lineRule="auto" w:after="120"/>
        <w:ind w:firstLine="420"/>
      </w:pPr>
      <w:r>
        <w:rPr>
          <w:rFonts w:ascii="仿宋" w:hAnsi="仿宋" w:eastAsia="仿宋"/>
          <w:b w:val="0"/>
          <w:i w:val="0"/>
          <w:sz w:val="24"/>
        </w:rPr>
        <w:t>1.建立三电系统专属质量标准与强制准入门槛</w:t>
      </w:r>
    </w:p>
    <w:p>
      <w:pPr>
        <w:spacing w:line="360" w:lineRule="auto" w:after="120"/>
        <w:ind w:firstLine="420"/>
      </w:pPr>
      <w:r>
        <w:rPr>
          <w:rFonts w:ascii="仿宋" w:hAnsi="仿宋" w:eastAsia="仿宋"/>
          <w:b w:val="0"/>
          <w:i w:val="0"/>
          <w:sz w:val="24"/>
        </w:rPr>
        <w:t>制定电池、电机、电控专项质量规范，明确电芯一致性、循环寿命、防水等</w:t>
      </w:r>
    </w:p>
    <w:p>
      <w:pPr>
        <w:spacing w:line="360" w:lineRule="auto" w:after="120"/>
        <w:ind w:firstLine="420"/>
      </w:pPr>
      <w:r>
        <w:rPr>
          <w:rFonts w:ascii="仿宋" w:hAnsi="仿宋" w:eastAsia="仿宋"/>
          <w:b w:val="0"/>
          <w:i w:val="0"/>
          <w:sz w:val="24"/>
        </w:rPr>
        <w:t>级、热失控安全等强制指标。</w:t>
      </w:r>
    </w:p>
    <w:p>
      <w:pPr>
        <w:spacing w:line="360" w:lineRule="auto" w:after="120"/>
        <w:ind w:firstLine="420"/>
      </w:pPr>
      <w:r>
        <w:rPr>
          <w:rFonts w:ascii="仿宋" w:hAnsi="仿宋" w:eastAsia="仿宋"/>
          <w:b w:val="0"/>
          <w:i w:val="0"/>
          <w:sz w:val="24"/>
        </w:rPr>
        <w:t>要求电池供应商必须具备 CNAS 实验室、全流程追溯能力、过程能力 Cpk</w:t>
      </w:r>
    </w:p>
    <w:p>
      <w:pPr>
        <w:spacing w:line="360" w:lineRule="auto" w:after="120"/>
        <w:ind w:firstLine="420"/>
      </w:pPr>
      <w:r>
        <w:rPr>
          <w:rFonts w:ascii="仿宋" w:hAnsi="仿宋" w:eastAsia="仿宋"/>
          <w:b w:val="0"/>
          <w:i w:val="0"/>
          <w:sz w:val="24"/>
        </w:rPr>
        <w:t>≥1.67。</w:t>
      </w:r>
    </w:p>
    <w:p>
      <w:pPr>
        <w:spacing w:line="360" w:lineRule="auto" w:after="120"/>
        <w:ind w:firstLine="420"/>
      </w:pPr>
      <w:r>
        <w:rPr>
          <w:rFonts w:ascii="仿宋" w:hAnsi="仿宋" w:eastAsia="仿宋"/>
          <w:b w:val="0"/>
          <w:i w:val="0"/>
          <w:sz w:val="24"/>
        </w:rPr>
        <w:t>2.构建电芯 — 电池包 —BMS 联合验证机制</w:t>
      </w:r>
    </w:p>
    <w:p>
      <w:pPr>
        <w:spacing w:line="360" w:lineRule="auto" w:after="120"/>
        <w:ind w:firstLine="420"/>
      </w:pPr>
      <w:r>
        <w:rPr>
          <w:rFonts w:ascii="仿宋" w:hAnsi="仿宋" w:eastAsia="仿宋"/>
          <w:b w:val="0"/>
          <w:i w:val="0"/>
          <w:sz w:val="24"/>
        </w:rPr>
        <w:t>从源头开展多场景耐久测试、高低温测试、极限充放电测试，提前暴露隐患。</w:t>
      </w:r>
    </w:p>
    <w:p>
      <w:pPr>
        <w:spacing w:line="360" w:lineRule="auto" w:after="120"/>
        <w:ind w:firstLine="420"/>
      </w:pPr>
      <w:r>
        <w:rPr>
          <w:rFonts w:ascii="仿宋" w:hAnsi="仿宋" w:eastAsia="仿宋"/>
          <w:b w:val="0"/>
          <w:i w:val="0"/>
          <w:sz w:val="24"/>
        </w:rPr>
        <w:t>建立联合实验室，实现电芯、系统、整车三方同步验证。</w:t>
      </w:r>
    </w:p>
    <w:p>
      <w:pPr>
        <w:spacing w:line="360" w:lineRule="auto" w:after="120"/>
        <w:ind w:firstLine="420"/>
      </w:pPr>
      <w:r>
        <w:rPr>
          <w:rFonts w:ascii="仿宋" w:hAnsi="仿宋" w:eastAsia="仿宋"/>
          <w:b w:val="0"/>
          <w:i w:val="0"/>
          <w:sz w:val="24"/>
        </w:rPr>
        <w:t>3.建立新能源供应商黑名单与责任追溯机制</w:t>
      </w:r>
    </w:p>
    <w:p>
      <w:pPr>
        <w:spacing w:line="360" w:lineRule="auto" w:after="120"/>
        <w:ind w:firstLine="420"/>
      </w:pPr>
      <w:r>
        <w:rPr>
          <w:rFonts w:ascii="仿宋" w:hAnsi="仿宋" w:eastAsia="仿宋"/>
          <w:b w:val="0"/>
          <w:i w:val="0"/>
          <w:sz w:val="24"/>
        </w:rPr>
        <w:t>对出现批次性失效、一致性差、造成召回的供应商实施高额索赔、暂停供货、</w:t>
      </w:r>
    </w:p>
    <w:p>
      <w:pPr>
        <w:spacing w:line="360" w:lineRule="auto" w:after="120"/>
        <w:ind w:firstLine="420"/>
      </w:pPr>
      <w:r>
        <w:rPr>
          <w:rFonts w:ascii="仿宋" w:hAnsi="仿宋" w:eastAsia="仿宋"/>
          <w:b w:val="0"/>
          <w:i w:val="0"/>
          <w:sz w:val="24"/>
        </w:rPr>
        <w:t>永久禁入等措施。</w:t>
      </w:r>
    </w:p>
    <w:p>
      <w:pPr>
        <w:spacing w:line="360" w:lineRule="auto" w:after="120"/>
        <w:ind w:firstLine="420"/>
      </w:pPr>
      <w:r>
        <w:rPr>
          <w:rFonts w:ascii="仿宋" w:hAnsi="仿宋" w:eastAsia="仿宋"/>
          <w:b w:val="0"/>
          <w:i w:val="0"/>
          <w:sz w:val="24"/>
        </w:rPr>
        <w:t>明确质量责任边界，避免技术界面模糊导致推诿。</w:t>
      </w:r>
    </w:p>
    <w:p>
      <w:pPr>
        <w:spacing w:line="360" w:lineRule="auto" w:after="120"/>
        <w:ind w:firstLine="420"/>
      </w:pPr>
      <w:r>
        <w:rPr>
          <w:rFonts w:ascii="仿宋" w:hAnsi="仿宋" w:eastAsia="仿宋"/>
          <w:b w:val="0"/>
          <w:i w:val="0"/>
          <w:sz w:val="24"/>
        </w:rPr>
        <w:t>4. 提升核心零部件自主可控率</w:t>
      </w:r>
    </w:p>
    <w:p>
      <w:pPr>
        <w:spacing w:line="360" w:lineRule="auto" w:after="120"/>
        <w:ind w:firstLine="420"/>
      </w:pPr>
      <w:r>
        <w:rPr>
          <w:rFonts w:ascii="仿宋" w:hAnsi="仿宋" w:eastAsia="仿宋"/>
          <w:b w:val="0"/>
          <w:i w:val="0"/>
          <w:sz w:val="24"/>
        </w:rPr>
        <w:t>加大自研与战略投资，降低对外部芯片、电芯、传感器的依赖，增强供应链</w:t>
      </w:r>
    </w:p>
    <w:p>
      <w:pPr>
        <w:spacing w:line="360" w:lineRule="auto" w:after="120"/>
        <w:ind w:firstLine="420"/>
      </w:pPr>
      <w:r>
        <w:rPr>
          <w:rFonts w:ascii="仿宋" w:hAnsi="仿宋" w:eastAsia="仿宋"/>
          <w:b w:val="0"/>
          <w:i w:val="0"/>
          <w:sz w:val="24"/>
        </w:rPr>
        <w:t>韧性。</w:t>
      </w:r>
    </w:p>
    <w:p>
      <w:pPr>
        <w:spacing w:before="240" w:after="120" w:line="360" w:lineRule="auto"/>
      </w:pPr>
      <w:r>
        <w:rPr>
          <w:rFonts w:ascii="黑体" w:hAnsi="黑体" w:eastAsia="黑体"/>
          <w:b/>
          <w:i w:val="0"/>
          <w:sz w:val="28"/>
        </w:rPr>
        <w:t>6.3 强化整改闭环管理与数字化协同提速</w:t>
      </w:r>
    </w:p>
    <w:p>
      <w:pPr>
        <w:spacing w:line="360" w:lineRule="auto" w:after="120"/>
        <w:ind w:firstLine="420"/>
      </w:pPr>
      <w:r>
        <w:rPr>
          <w:rFonts w:ascii="仿宋" w:hAnsi="仿宋" w:eastAsia="仿宋"/>
          <w:b w:val="0"/>
          <w:i w:val="0"/>
          <w:sz w:val="24"/>
        </w:rPr>
        <w:t>1.建立整改闭环刚性管控机制</w:t>
      </w:r>
    </w:p>
    <w:p>
      <w:pPr>
        <w:spacing w:line="360" w:lineRule="auto" w:after="120"/>
        <w:ind w:firstLine="420"/>
      </w:pPr>
      <w:r>
        <w:rPr>
          <w:rFonts w:ascii="仿宋" w:hAnsi="仿宋" w:eastAsia="仿宋"/>
          <w:b w:val="0"/>
          <w:i w:val="0"/>
          <w:sz w:val="24"/>
        </w:rPr>
        <w:t>强制要求 8D 报告必须包含真因验证、防错措施、横向拓展、效果量化。重</w:t>
      </w:r>
    </w:p>
    <w:p>
      <w:pPr>
        <w:spacing w:line="360" w:lineRule="auto" w:after="120"/>
        <w:ind w:firstLine="420"/>
      </w:pPr>
      <w:r>
        <w:rPr>
          <w:rFonts w:ascii="仿宋" w:hAnsi="仿宋" w:eastAsia="仿宋"/>
          <w:b w:val="0"/>
          <w:i w:val="0"/>
          <w:sz w:val="24"/>
        </w:rPr>
        <w:t>复问题触发升级处理：约谈→罚款→减单→停单→淘汰。</w:t>
      </w:r>
    </w:p>
    <w:p>
      <w:pPr>
        <w:spacing w:line="360" w:lineRule="auto" w:after="120"/>
        <w:ind w:firstLine="420"/>
      </w:pPr>
      <w:r>
        <w:rPr>
          <w:rFonts w:ascii="仿宋" w:hAnsi="仿宋" w:eastAsia="仿宋"/>
          <w:b w:val="0"/>
          <w:i w:val="0"/>
          <w:sz w:val="24"/>
        </w:rPr>
        <w:t>2.搭建远程审核与协同平台</w:t>
      </w:r>
    </w:p>
    <w:p>
      <w:pPr>
        <w:spacing w:line="360" w:lineRule="auto" w:after="120"/>
        <w:ind w:firstLine="420"/>
      </w:pPr>
      <w:r>
        <w:rPr>
          <w:rFonts w:ascii="仿宋" w:hAnsi="仿宋" w:eastAsia="仿宋"/>
          <w:b w:val="0"/>
          <w:i w:val="0"/>
          <w:sz w:val="24"/>
        </w:rPr>
        <w:t>使用 VR/AR/视频连线开展远程审核，降低跨区域、海外供应商沟通成本。</w:t>
      </w:r>
    </w:p>
    <w:p>
      <w:pPr>
        <w:spacing w:line="360" w:lineRule="auto" w:after="120"/>
        <w:ind w:firstLine="420"/>
      </w:pPr>
      <w:r>
        <w:rPr>
          <w:rFonts w:ascii="仿宋" w:hAnsi="仿宋" w:eastAsia="仿宋"/>
          <w:b w:val="0"/>
          <w:i w:val="0"/>
          <w:sz w:val="24"/>
        </w:rPr>
        <w:t>建立线上问题协同系统，实现问题上报→分析→整改→验证全流程留痕。</w:t>
      </w:r>
    </w:p>
    <w:p>
      <w:pPr>
        <w:spacing w:line="360" w:lineRule="auto" w:after="120"/>
        <w:ind w:firstLine="420"/>
      </w:pPr>
      <w:r>
        <w:rPr>
          <w:rFonts w:ascii="仿宋" w:hAnsi="仿宋" w:eastAsia="仿宋"/>
          <w:b w:val="0"/>
          <w:i w:val="0"/>
          <w:sz w:val="24"/>
        </w:rPr>
        <w:t>3.建立质量信用评分体系</w:t>
      </w:r>
    </w:p>
    <w:p>
      <w:pPr>
        <w:spacing w:line="360" w:lineRule="auto" w:after="120"/>
        <w:ind w:firstLine="420"/>
      </w:pPr>
      <w:r>
        <w:rPr>
          <w:rFonts w:ascii="仿宋" w:hAnsi="仿宋" w:eastAsia="仿宋"/>
          <w:b w:val="0"/>
          <w:i w:val="0"/>
          <w:sz w:val="24"/>
        </w:rPr>
        <w:t>将整改及时率、闭环率、重复发生率纳入信用分，直接挂钩订单量、付款周</w:t>
      </w:r>
    </w:p>
    <w:p>
      <w:pPr>
        <w:spacing w:line="360" w:lineRule="auto" w:after="120"/>
        <w:ind w:firstLine="420"/>
      </w:pPr>
      <w:r>
        <w:rPr>
          <w:rFonts w:ascii="仿宋" w:hAnsi="仿宋" w:eastAsia="仿宋"/>
          <w:b w:val="0"/>
          <w:i w:val="0"/>
          <w:sz w:val="24"/>
        </w:rPr>
        <w:t>期、新项目资格。</w:t>
      </w:r>
    </w:p>
    <w:p>
      <w:pPr>
        <w:spacing w:line="360" w:lineRule="auto" w:after="120"/>
        <w:ind w:firstLine="420"/>
      </w:pPr>
      <w:r>
        <w:rPr>
          <w:rFonts w:ascii="仿宋" w:hAnsi="仿宋" w:eastAsia="仿宋"/>
          <w:b w:val="0"/>
          <w:i w:val="0"/>
          <w:sz w:val="24"/>
        </w:rPr>
        <w:t>4.推行质量问题 “快反小组” 机制</w:t>
      </w:r>
    </w:p>
    <w:p>
      <w:pPr>
        <w:spacing w:line="360" w:lineRule="auto" w:after="120"/>
        <w:ind w:firstLine="420"/>
      </w:pPr>
      <w:r>
        <w:rPr>
          <w:rFonts w:ascii="仿宋" w:hAnsi="仿宋" w:eastAsia="仿宋"/>
          <w:b w:val="0"/>
          <w:i w:val="0"/>
          <w:sz w:val="24"/>
        </w:rPr>
        <w:t>出现批次问题 2 小时响应、24 小时现场到位、72 小时临时对策、15 天永</w:t>
      </w:r>
    </w:p>
    <w:p>
      <w:pPr>
        <w:spacing w:line="360" w:lineRule="auto" w:after="120"/>
        <w:ind w:firstLine="420"/>
      </w:pPr>
      <w:r>
        <w:rPr>
          <w:rFonts w:ascii="仿宋" w:hAnsi="仿宋" w:eastAsia="仿宋"/>
          <w:b w:val="0"/>
          <w:i w:val="0"/>
          <w:sz w:val="24"/>
        </w:rPr>
        <w:t>久对策，提升处置速度。</w:t>
      </w:r>
    </w:p>
    <w:p>
      <w:pPr>
        <w:spacing w:before="240" w:after="120" w:line="360" w:lineRule="auto"/>
      </w:pPr>
      <w:r>
        <w:rPr>
          <w:rFonts w:ascii="黑体" w:hAnsi="黑体" w:eastAsia="黑体"/>
          <w:b/>
          <w:i w:val="0"/>
          <w:sz w:val="28"/>
        </w:rPr>
        <w:t>6.4 推进绿色考核与次级供应商穿透式管控</w:t>
      </w:r>
    </w:p>
    <w:p>
      <w:pPr>
        <w:spacing w:line="360" w:lineRule="auto" w:after="120"/>
        <w:ind w:firstLine="420"/>
      </w:pPr>
      <w:r>
        <w:rPr>
          <w:rFonts w:ascii="仿宋" w:hAnsi="仿宋" w:eastAsia="仿宋"/>
          <w:b w:val="0"/>
          <w:i w:val="0"/>
          <w:sz w:val="24"/>
        </w:rPr>
        <w:t>1.将绿色低碳纳入供应商强制考核</w:t>
      </w:r>
    </w:p>
    <w:p>
      <w:pPr>
        <w:spacing w:line="360" w:lineRule="auto" w:after="120"/>
        <w:ind w:firstLine="420"/>
      </w:pPr>
      <w:r>
        <w:rPr>
          <w:rFonts w:ascii="仿宋" w:hAnsi="仿宋" w:eastAsia="仿宋"/>
          <w:b w:val="0"/>
          <w:i w:val="0"/>
          <w:sz w:val="24"/>
        </w:rPr>
        <w:t>把绿电使用率、循环材料比例、碳排指标纳入季度评级，不达标者降级、限</w:t>
      </w:r>
    </w:p>
    <w:p>
      <w:pPr>
        <w:spacing w:line="360" w:lineRule="auto" w:after="120"/>
        <w:ind w:firstLine="420"/>
      </w:pPr>
      <w:r>
        <w:rPr>
          <w:rFonts w:ascii="仿宋" w:hAnsi="仿宋" w:eastAsia="仿宋"/>
          <w:b w:val="0"/>
          <w:i w:val="0"/>
          <w:sz w:val="24"/>
        </w:rPr>
        <w:t>单。推动全供应链绿色制造认证，统一绿色标准。</w:t>
      </w:r>
    </w:p>
    <w:p>
      <w:pPr>
        <w:spacing w:line="360" w:lineRule="auto" w:after="120"/>
        <w:ind w:firstLine="420"/>
      </w:pPr>
      <w:r>
        <w:rPr>
          <w:rFonts w:ascii="仿宋" w:hAnsi="仿宋" w:eastAsia="仿宋"/>
          <w:b w:val="0"/>
          <w:i w:val="0"/>
          <w:sz w:val="24"/>
        </w:rPr>
        <w:t>2.实施次级供应商穿透式管控</w:t>
      </w:r>
    </w:p>
    <w:p>
      <w:pPr>
        <w:spacing w:line="360" w:lineRule="auto" w:after="120"/>
        <w:ind w:firstLine="420"/>
      </w:pPr>
      <w:r>
        <w:rPr>
          <w:rFonts w:ascii="仿宋" w:hAnsi="仿宋" w:eastAsia="仿宋"/>
          <w:b w:val="0"/>
          <w:i w:val="0"/>
          <w:sz w:val="24"/>
        </w:rPr>
        <w:t>对关键零部件（电池、芯片、结构件）强制要求向上穿透二级、三级供应商。</w:t>
      </w:r>
    </w:p>
    <w:p>
      <w:pPr>
        <w:spacing w:line="360" w:lineRule="auto" w:after="120"/>
        <w:ind w:firstLine="420"/>
      </w:pPr>
      <w:r>
        <w:rPr>
          <w:rFonts w:ascii="仿宋" w:hAnsi="仿宋" w:eastAsia="仿宋"/>
          <w:b w:val="0"/>
          <w:i w:val="0"/>
          <w:sz w:val="24"/>
        </w:rPr>
        <w:t>建立原材料准入清单，禁止使用高风险、低稳定性物料。</w:t>
      </w:r>
    </w:p>
    <w:p>
      <w:pPr>
        <w:spacing w:line="360" w:lineRule="auto" w:after="120"/>
        <w:ind w:firstLine="420"/>
      </w:pPr>
      <w:r>
        <w:rPr>
          <w:rFonts w:ascii="仿宋" w:hAnsi="仿宋" w:eastAsia="仿宋"/>
          <w:b w:val="0"/>
          <w:i w:val="0"/>
          <w:sz w:val="24"/>
        </w:rPr>
        <w:t>3.建立全链条追溯体系</w:t>
      </w:r>
    </w:p>
    <w:p>
      <w:pPr>
        <w:spacing w:line="360" w:lineRule="auto" w:after="120"/>
        <w:ind w:firstLine="420"/>
      </w:pPr>
      <w:r>
        <w:rPr>
          <w:rFonts w:ascii="仿宋" w:hAnsi="仿宋" w:eastAsia="仿宋"/>
          <w:b w:val="0"/>
          <w:i w:val="0"/>
          <w:sz w:val="24"/>
        </w:rPr>
        <w:t>采用区块链 + 二维码实现从原料→制程→成品→装车→售后全程可追溯。</w:t>
      </w:r>
    </w:p>
    <w:p>
      <w:pPr>
        <w:spacing w:line="360" w:lineRule="auto" w:after="120"/>
        <w:ind w:firstLine="420"/>
      </w:pPr>
      <w:r>
        <w:rPr>
          <w:rFonts w:ascii="仿宋" w:hAnsi="仿宋" w:eastAsia="仿宋"/>
          <w:b w:val="0"/>
          <w:i w:val="0"/>
          <w:sz w:val="24"/>
        </w:rPr>
        <w:t>出现问题可快速定位批次、供应商、设备、人员，大幅缩短排查时间。</w:t>
      </w:r>
    </w:p>
    <w:p>
      <w:pPr>
        <w:spacing w:line="360" w:lineRule="auto" w:after="120"/>
        <w:ind w:firstLine="420"/>
      </w:pPr>
      <w:r>
        <w:rPr>
          <w:rFonts w:ascii="仿宋" w:hAnsi="仿宋" w:eastAsia="仿宋"/>
          <w:b w:val="0"/>
          <w:i w:val="0"/>
          <w:sz w:val="24"/>
        </w:rPr>
        <w:t>4. 完善可持续与 ESG 质量审查</w:t>
      </w:r>
    </w:p>
    <w:p>
      <w:pPr>
        <w:spacing w:line="360" w:lineRule="auto" w:after="120"/>
        <w:ind w:firstLine="420"/>
      </w:pPr>
      <w:r>
        <w:rPr>
          <w:rFonts w:ascii="仿宋" w:hAnsi="仿宋" w:eastAsia="仿宋"/>
          <w:b w:val="0"/>
          <w:i w:val="0"/>
          <w:sz w:val="24"/>
        </w:rPr>
        <w:t>将环保、安全、职业健康、商业道德纳入年度审核，一票否决。</w:t>
      </w:r>
    </w:p>
    <w:p>
      <w:pPr>
        <w:spacing w:before="360" w:after="240" w:line="360" w:lineRule="auto"/>
        <w:jc w:val="center"/>
      </w:pPr>
      <w:r>
        <w:rPr>
          <w:rFonts w:ascii="黑体" w:hAnsi="黑体" w:eastAsia="黑体"/>
          <w:b/>
          <w:i w:val="0"/>
          <w:sz w:val="32"/>
        </w:rPr>
        <w:t>7 调研结论</w:t>
      </w:r>
    </w:p>
    <w:p>
      <w:pPr>
        <w:spacing w:line="360" w:lineRule="auto" w:after="120"/>
        <w:ind w:firstLine="420"/>
      </w:pPr>
      <w:r>
        <w:rPr>
          <w:rFonts w:ascii="仿宋" w:hAnsi="仿宋" w:eastAsia="仿宋"/>
          <w:b w:val="0"/>
          <w:i w:val="0"/>
          <w:sz w:val="24"/>
        </w:rPr>
        <w:t>从公开资料和本次课程调研整理结果看，吉利汽车已形成较为完整的全生命周期供应商质量管理体系。该体系以 IATF 16949 为基础，以 2025 版 CSR 专属要求为重要管理依据，围绕供应商准入、分级管控、过程质量监督、数字化协同、激励与退出机制等环节开展管理实践。在若干公开质量指标和案例实践中，吉利汽车供应商质量管理表现较好，并对多品牌增长提供了基础性支撑之一。</w:t>
      </w:r>
    </w:p>
    <w:p>
      <w:pPr>
        <w:spacing w:line="360" w:lineRule="auto" w:after="120"/>
        <w:ind w:firstLine="420"/>
      </w:pPr>
      <w:r>
        <w:rPr>
          <w:rFonts w:ascii="仿宋" w:hAnsi="仿宋" w:eastAsia="仿宋"/>
          <w:b w:val="0"/>
          <w:i w:val="0"/>
          <w:sz w:val="24"/>
        </w:rPr>
        <w:t>与此同时，调研也明确了当前面临的四项关键短板：一是中小供应商质量基础薄弱、数字化水平偏低，可能影响供应链质量一致性；二是新能源三电零部件质量风险突出，电芯一致性、责任界定与长期可靠性问题易引发投诉、召回与成本压力；三是供应商质量整改仍可能存在形式化倾向，跨区域协同效率和问题复发控制有待提升；四是绿色质量传导不足、次级供应商穿透管控不够，全链条质量韧性仍需加强。</w:t>
      </w:r>
    </w:p>
    <w:p>
      <w:pPr>
        <w:spacing w:line="360" w:lineRule="auto" w:after="120"/>
        <w:ind w:firstLine="420"/>
      </w:pPr>
      <w:r>
        <w:rPr>
          <w:rFonts w:ascii="仿宋" w:hAnsi="仿宋" w:eastAsia="仿宋"/>
          <w:b w:val="0"/>
          <w:i w:val="0"/>
          <w:sz w:val="24"/>
        </w:rPr>
        <w:t>综合来看，吉利汽车供应商质量管理体系具备一定成熟度，并具备一定行业参考价值。面向电动化、智能化与全球化新阶段，吉利仍需进一步强化中小供应商精准赋能、建立新能源零部件专属质量管控体系、提升跨主体整改闭环效率、延伸覆盖二三级供应商与全链条绿色质量管控，以持续增强供应链抗风险能力和质量稳定性。</w:t>
      </w:r>
    </w:p>
    <w:p>
      <w:pPr>
        <w:spacing w:before="360" w:after="240" w:line="360" w:lineRule="auto"/>
        <w:jc w:val="center"/>
      </w:pPr>
      <w:r>
        <w:rPr>
          <w:rFonts w:ascii="黑体" w:hAnsi="黑体" w:eastAsia="黑体"/>
          <w:b/>
          <w:i w:val="0"/>
          <w:sz w:val="32"/>
        </w:rPr>
        <w:t>参考文献</w:t>
      </w:r>
    </w:p>
    <w:p>
      <w:pPr>
        <w:spacing w:line="360" w:lineRule="auto" w:after="120"/>
        <w:ind w:firstLine="420"/>
      </w:pPr>
      <w:r>
        <w:rPr>
          <w:rFonts w:ascii="仿宋" w:hAnsi="仿宋" w:eastAsia="仿宋"/>
          <w:b w:val="0"/>
          <w:i w:val="0"/>
          <w:sz w:val="24"/>
        </w:rPr>
        <w:t>[1] 吉利控股集团. 顾客特定要求（CSR，2025.6版）与供应商质量管理手册（V1.0版）[EB/OL]. IATF全球监督平台, 2025-06（2026年4月26日访问）.</w:t>
      </w:r>
    </w:p>
    <w:p>
      <w:pPr>
        <w:spacing w:line="360" w:lineRule="auto" w:after="120"/>
        <w:ind w:firstLine="420"/>
      </w:pPr>
      <w:r>
        <w:rPr>
          <w:rFonts w:ascii="仿宋" w:hAnsi="仿宋" w:eastAsia="仿宋"/>
          <w:b w:val="0"/>
          <w:i w:val="0"/>
          <w:sz w:val="24"/>
        </w:rPr>
        <w:t>[2] 吉利汽车控股有限公司. 吉利汽车2024年ESG报告[EB/OL]. 2025-04（2026年4月26日访问）.</w:t>
      </w:r>
    </w:p>
    <w:p>
      <w:pPr>
        <w:spacing w:line="360" w:lineRule="auto" w:after="120"/>
        <w:ind w:firstLine="420"/>
      </w:pPr>
      <w:r>
        <w:rPr>
          <w:rFonts w:ascii="仿宋" w:hAnsi="仿宋" w:eastAsia="仿宋"/>
          <w:b w:val="0"/>
          <w:i w:val="0"/>
          <w:sz w:val="24"/>
        </w:rPr>
        <w:t>[3] 吉利汽车控股有限公司. 吉利汽车2025年中期业绩报告[EB/OL]. 吉利汽车官网, 2025-08（2026年4月26日访问）.</w:t>
      </w:r>
    </w:p>
    <w:p>
      <w:pPr>
        <w:spacing w:line="360" w:lineRule="auto" w:after="120"/>
        <w:ind w:firstLine="420"/>
      </w:pPr>
      <w:r>
        <w:rPr>
          <w:rFonts w:ascii="仿宋" w:hAnsi="仿宋" w:eastAsia="仿宋"/>
          <w:b w:val="0"/>
          <w:i w:val="0"/>
          <w:sz w:val="24"/>
        </w:rPr>
        <w:t>[4] 中国汽车流通协会. 2025年4月自主品牌可靠性调研数据[EB/OL]. 2025-04（2026年4月26日访问）.</w:t>
      </w:r>
    </w:p>
    <w:p>
      <w:pPr>
        <w:spacing w:line="360" w:lineRule="auto" w:after="120"/>
        <w:ind w:firstLine="420"/>
      </w:pPr>
      <w:r>
        <w:rPr>
          <w:rFonts w:ascii="仿宋" w:hAnsi="仿宋" w:eastAsia="仿宋"/>
          <w:b w:val="0"/>
          <w:i w:val="0"/>
          <w:sz w:val="24"/>
        </w:rPr>
        <w:t>[5] 盖世汽车. 吉利供应链战略采购及供应商管理实践[EB/OL]. 2025-12（2026年4月26日访问）.</w:t>
      </w:r>
    </w:p>
    <w:p>
      <w:pPr>
        <w:spacing w:line="360" w:lineRule="auto" w:after="120"/>
        <w:ind w:firstLine="420"/>
      </w:pPr>
      <w:r>
        <w:rPr>
          <w:rFonts w:ascii="仿宋" w:hAnsi="仿宋" w:eastAsia="仿宋"/>
          <w:b w:val="0"/>
          <w:i w:val="0"/>
          <w:sz w:val="24"/>
        </w:rPr>
        <w:t>[6] J.D. Power. 2024年中国汽车售后服务满意度研究报告[EB/OL]. 2024（2026年4月26日访问）.</w:t>
      </w:r>
    </w:p>
    <w:p>
      <w:pPr>
        <w:spacing w:before="360" w:after="240" w:line="360" w:lineRule="auto"/>
        <w:jc w:val="center"/>
      </w:pPr>
      <w:r>
        <w:rPr>
          <w:rFonts w:ascii="黑体" w:hAnsi="黑体" w:eastAsia="黑体"/>
          <w:b/>
          <w:i w:val="0"/>
          <w:sz w:val="32"/>
        </w:rPr>
        <w:t>附录：数据来源说明</w:t>
      </w:r>
    </w:p>
    <w:p>
      <w:pPr>
        <w:jc w:val="center"/>
      </w:pPr>
      <w:r>
        <w:rPr>
          <w:rFonts w:ascii="黑体" w:hAnsi="黑体" w:eastAsia="黑体"/>
          <w:b/>
          <w:i w:val="0"/>
          <w:sz w:val="21"/>
        </w:rPr>
        <w:t>表4</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rPr>
                <w:rFonts w:ascii="黑体" w:hAnsi="黑体" w:eastAsia="黑体"/>
                <w:b/>
                <w:i w:val="0"/>
                <w:sz w:val="21"/>
              </w:rPr>
              <w:t>数据项</w:t>
            </w:r>
          </w:p>
        </w:tc>
        <w:tc>
          <w:tcPr>
            <w:tcW w:type="dxa" w:w="2161"/>
          </w:tcPr>
          <w:p>
            <w:r>
              <w:rPr>
                <w:rFonts w:ascii="黑体" w:hAnsi="黑体" w:eastAsia="黑体"/>
                <w:b/>
                <w:i w:val="0"/>
                <w:sz w:val="21"/>
              </w:rPr>
              <w:t>数值</w:t>
            </w:r>
          </w:p>
        </w:tc>
        <w:tc>
          <w:tcPr>
            <w:tcW w:type="dxa" w:w="2161"/>
          </w:tcPr>
          <w:p>
            <w:r>
              <w:rPr>
                <w:rFonts w:ascii="黑体" w:hAnsi="黑体" w:eastAsia="黑体"/>
                <w:b/>
                <w:i w:val="0"/>
                <w:sz w:val="21"/>
              </w:rPr>
              <w:t>来源</w:t>
            </w:r>
          </w:p>
        </w:tc>
        <w:tc>
          <w:tcPr>
            <w:tcW w:type="dxa" w:w="2161"/>
          </w:tcPr>
          <w:p>
            <w:r>
              <w:rPr>
                <w:rFonts w:ascii="黑体" w:hAnsi="黑体" w:eastAsia="黑体"/>
                <w:b/>
                <w:i w:val="0"/>
                <w:sz w:val="21"/>
              </w:rPr>
              <w:t>处理方式</w:t>
            </w:r>
          </w:p>
        </w:tc>
      </w:tr>
      <w:tr>
        <w:tc>
          <w:tcPr>
            <w:tcW w:type="dxa" w:w="2161"/>
          </w:tcPr>
          <w:p>
            <w:r>
              <w:rPr>
                <w:rFonts w:ascii="仿宋" w:hAnsi="仿宋" w:eastAsia="仿宋"/>
                <w:b w:val="0"/>
                <w:i w:val="0"/>
                <w:sz w:val="21"/>
              </w:rPr>
              <w:t>2025上半年吉利汽车总销量</w:t>
            </w:r>
          </w:p>
        </w:tc>
        <w:tc>
          <w:tcPr>
            <w:tcW w:type="dxa" w:w="2161"/>
          </w:tcPr>
          <w:p>
            <w:r>
              <w:rPr>
                <w:rFonts w:ascii="仿宋" w:hAnsi="仿宋" w:eastAsia="仿宋"/>
                <w:b w:val="0"/>
                <w:i w:val="0"/>
                <w:sz w:val="21"/>
              </w:rPr>
              <w:t>140.9万辆，同比增长47%</w:t>
            </w:r>
          </w:p>
        </w:tc>
        <w:tc>
          <w:tcPr>
            <w:tcW w:type="dxa" w:w="2161"/>
          </w:tcPr>
          <w:p>
            <w:r>
              <w:rPr>
                <w:rFonts w:ascii="仿宋" w:hAnsi="仿宋" w:eastAsia="仿宋"/>
                <w:b w:val="0"/>
                <w:i w:val="0"/>
                <w:sz w:val="21"/>
              </w:rPr>
              <w:t>凤凰网/汽车之家/吉利官方中期业绩报告（2025.8）</w:t>
            </w:r>
          </w:p>
        </w:tc>
        <w:tc>
          <w:tcPr>
            <w:tcW w:type="dxa" w:w="2161"/>
          </w:tcPr>
          <w:p>
            <w:r>
              <w:rPr>
                <w:rFonts w:ascii="仿宋" w:hAnsi="仿宋" w:eastAsia="仿宋"/>
                <w:b w:val="0"/>
                <w:i w:val="0"/>
                <w:sz w:val="21"/>
              </w:rPr>
              <w:t>保留，并在正文中作为经营背景指标使用</w:t>
            </w:r>
          </w:p>
        </w:tc>
      </w:tr>
      <w:tr>
        <w:tc>
          <w:tcPr>
            <w:tcW w:type="dxa" w:w="2161"/>
          </w:tcPr>
          <w:p>
            <w:r>
              <w:rPr>
                <w:rFonts w:ascii="仿宋" w:hAnsi="仿宋" w:eastAsia="仿宋"/>
                <w:b w:val="0"/>
                <w:i w:val="0"/>
                <w:sz w:val="21"/>
              </w:rPr>
              <w:t>极氪001 WE86版召回数量</w:t>
            </w:r>
          </w:p>
        </w:tc>
        <w:tc>
          <w:tcPr>
            <w:tcW w:type="dxa" w:w="2161"/>
          </w:tcPr>
          <w:p>
            <w:r>
              <w:rPr>
                <w:rFonts w:ascii="仿宋" w:hAnsi="仿宋" w:eastAsia="仿宋"/>
                <w:b w:val="0"/>
                <w:i w:val="0"/>
                <w:sz w:val="21"/>
              </w:rPr>
              <w:t>38277辆</w:t>
            </w:r>
          </w:p>
        </w:tc>
        <w:tc>
          <w:tcPr>
            <w:tcW w:type="dxa" w:w="2161"/>
          </w:tcPr>
          <w:p>
            <w:r>
              <w:rPr>
                <w:rFonts w:ascii="仿宋" w:hAnsi="仿宋" w:eastAsia="仿宋"/>
                <w:b w:val="0"/>
                <w:i w:val="0"/>
                <w:sz w:val="21"/>
              </w:rPr>
              <w:t>市场监管总局召回公告 S2026M0023V（2026.2.9）</w:t>
            </w:r>
          </w:p>
        </w:tc>
        <w:tc>
          <w:tcPr>
            <w:tcW w:type="dxa" w:w="2161"/>
          </w:tcPr>
          <w:p>
            <w:r>
              <w:rPr>
                <w:rFonts w:ascii="仿宋" w:hAnsi="仿宋" w:eastAsia="仿宋"/>
                <w:b w:val="0"/>
                <w:i w:val="0"/>
                <w:sz w:val="21"/>
              </w:rPr>
              <w:t>保留，并标注公告编号</w:t>
            </w:r>
          </w:p>
        </w:tc>
      </w:tr>
      <w:tr>
        <w:tc>
          <w:tcPr>
            <w:tcW w:type="dxa" w:w="2161"/>
          </w:tcPr>
          <w:p>
            <w:r>
              <w:rPr>
                <w:rFonts w:ascii="仿宋" w:hAnsi="仿宋" w:eastAsia="仿宋"/>
                <w:b w:val="0"/>
                <w:i w:val="0"/>
                <w:sz w:val="21"/>
              </w:rPr>
              <w:t>smart精灵#1召回数量</w:t>
            </w:r>
          </w:p>
        </w:tc>
        <w:tc>
          <w:tcPr>
            <w:tcW w:type="dxa" w:w="2161"/>
          </w:tcPr>
          <w:p>
            <w:r>
              <w:rPr>
                <w:rFonts w:ascii="仿宋" w:hAnsi="仿宋" w:eastAsia="仿宋"/>
                <w:b w:val="0"/>
                <w:i w:val="0"/>
                <w:sz w:val="21"/>
              </w:rPr>
              <w:t>16072辆</w:t>
            </w:r>
          </w:p>
        </w:tc>
        <w:tc>
          <w:tcPr>
            <w:tcW w:type="dxa" w:w="2161"/>
          </w:tcPr>
          <w:p>
            <w:r>
              <w:rPr>
                <w:rFonts w:ascii="仿宋" w:hAnsi="仿宋" w:eastAsia="仿宋"/>
                <w:b w:val="0"/>
                <w:i w:val="0"/>
                <w:sz w:val="21"/>
              </w:rPr>
              <w:t>市场监管总局召回公告 S2026M0029V</w:t>
            </w:r>
          </w:p>
        </w:tc>
        <w:tc>
          <w:tcPr>
            <w:tcW w:type="dxa" w:w="2161"/>
          </w:tcPr>
          <w:p>
            <w:r>
              <w:rPr>
                <w:rFonts w:ascii="仿宋" w:hAnsi="仿宋" w:eastAsia="仿宋"/>
                <w:b w:val="0"/>
                <w:i w:val="0"/>
                <w:sz w:val="21"/>
              </w:rPr>
              <w:t>保留</w:t>
            </w:r>
          </w:p>
        </w:tc>
      </w:tr>
      <w:tr>
        <w:tc>
          <w:tcPr>
            <w:tcW w:type="dxa" w:w="2161"/>
          </w:tcPr>
          <w:p>
            <w:r>
              <w:rPr>
                <w:rFonts w:ascii="仿宋" w:hAnsi="仿宋" w:eastAsia="仿宋"/>
                <w:b w:val="0"/>
                <w:i w:val="0"/>
                <w:sz w:val="21"/>
              </w:rPr>
              <w:t>欣旺达和解金额</w:t>
            </w:r>
          </w:p>
        </w:tc>
        <w:tc>
          <w:tcPr>
            <w:tcW w:type="dxa" w:w="2161"/>
          </w:tcPr>
          <w:p>
            <w:r>
              <w:rPr>
                <w:rFonts w:ascii="仿宋" w:hAnsi="仿宋" w:eastAsia="仿宋"/>
                <w:b w:val="0"/>
                <w:i w:val="0"/>
                <w:sz w:val="21"/>
              </w:rPr>
              <w:t>原23.14亿元，和解6.08亿元</w:t>
            </w:r>
          </w:p>
        </w:tc>
        <w:tc>
          <w:tcPr>
            <w:tcW w:type="dxa" w:w="2161"/>
          </w:tcPr>
          <w:p>
            <w:r>
              <w:rPr>
                <w:rFonts w:ascii="仿宋" w:hAnsi="仿宋" w:eastAsia="仿宋"/>
                <w:b w:val="0"/>
                <w:i w:val="0"/>
                <w:sz w:val="21"/>
              </w:rPr>
              <w:t>欣旺达官方公告（2026.2.6）</w:t>
            </w:r>
          </w:p>
        </w:tc>
        <w:tc>
          <w:tcPr>
            <w:tcW w:type="dxa" w:w="2161"/>
          </w:tcPr>
          <w:p>
            <w:r>
              <w:rPr>
                <w:rFonts w:ascii="仿宋" w:hAnsi="仿宋" w:eastAsia="仿宋"/>
                <w:b w:val="0"/>
                <w:i w:val="0"/>
                <w:sz w:val="21"/>
              </w:rPr>
              <w:t>保留，并标注和解日期</w:t>
            </w:r>
          </w:p>
        </w:tc>
      </w:tr>
    </w:tbl>
    <w:p/>
    <w:p>
      <w:pPr>
        <w:spacing w:line="360" w:lineRule="auto" w:after="120"/>
        <w:ind w:firstLine="420"/>
      </w:pPr>
      <w:r>
        <w:rPr>
          <w:rFonts w:ascii="仿宋" w:hAnsi="仿宋" w:eastAsia="仿宋"/>
          <w:b w:val="0"/>
          <w:i w:val="0"/>
          <w:sz w:val="24"/>
        </w:rPr>
        <w:t>说明：核心零部件不良品率、供应商来料批次合格率、质量问题整改及时率、8D报告闭环率、整车质量成本同比下降等具体数值，因公开渠道未找到可完全核验的原始来源，正文已改为定性表述或删除具体数字。</w:t>
      </w:r>
    </w:p>
    <w:sectPr w:rsidR="00FC693F" w:rsidRPr="0006063C" w:rsidSect="00034616">
      <w:headerReference w:type="default" r:id="rId9"/>
      <w:footerReference w:type="default" r:id="rId10"/>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i w:val="0"/>
        <w:sz w:val="18"/>
      </w:rPr>
      <w:fldChar w:fldCharType="begin"/>
      <w:instrText>PAGE</w:instrText>
      <w:fldChar w:fldCharType="end"/>
    </w:r>
    <w:r>
      <w:rPr>
        <w:rFonts w:ascii="宋体" w:hAnsi="宋体" w:eastAsia="宋体"/>
        <w:b w:val="0"/>
        <w:i w:val="0"/>
        <w:sz w:val="18"/>
      </w:rPr>
      <w:fldChar w:fldCharType="begin"/>
      <w:instrText>PAGE</w:instrText>
      <w:fldChar w:fldCharType="end"/>
    </w:r>
    <w:r>
      <w:rPr>
        <w:rFonts w:ascii="宋体" w:hAnsi="宋体" w:eastAsia="宋体"/>
        <w:b w:val="0"/>
        <w:i w:val="0"/>
        <w:sz w:val="18"/>
      </w:rPr>
      <w:fldChar w:fldCharType="begin"/>
      <w:instrText>PAGE</w:instrText>
      <w:fldChar w:fldCharType="end"/>
    </w:r>
    <w:r>
      <w:rPr>
        <w:rFonts w:ascii="宋体" w:hAnsi="宋体" w:eastAsia="宋体"/>
        <w:b w:val="0"/>
        <w:i w:val="0"/>
        <w:sz w:val="18"/>
      </w:rPr>
      <w:fldChar w:fldCharType="begin"/>
      <w:instrText>PAGE</w:instrText>
      <w:fldChar w:fldCharType="end"/>
    </w:r>
    <w:r>
      <w:rPr>
        <w:rFonts w:ascii="宋体" w:hAnsi="宋体" w:eastAsia="宋体"/>
        <w:b w:val="0"/>
        <w:i w:val="0"/>
        <w:sz w:val="18"/>
      </w:rPr>
      <w:fldChar w:fldCharType="begin"/>
      <w:instrText>PAGE</w:instrText>
      <w:fldChar w:fldCharType="end"/>
    </w:r>
    <w:r>
      <w:rPr>
        <w:rFonts w:ascii="宋体" w:hAnsi="宋体" w:eastAsia="宋体"/>
        <w:b w:val="0"/>
        <w:i w:val="0"/>
        <w:sz w:val="18"/>
      </w:rPr>
      <w:fldChar w:fldCharType="begin"/>
      <w:instrText>PAGE</w:instrText>
      <w:fldChar w:fldCharType="end"/>
    </w:r>
    <w:r>
      <w:rPr>
        <w:rFonts w:ascii="宋体" w:hAnsi="宋体" w:eastAsia="宋体"/>
        <w:b w:val="0"/>
        <w:i w:val="0"/>
        <w:sz w:val="18"/>
      </w:rPr>
      <w:fldChar w:fldCharType="begin"/>
      <w:instrText>PAGE</w:instrText>
      <w:fldChar w:fldCharType="end"/>
    </w:r>
    <w:r>
      <w:rPr>
        <w:rFonts w:ascii="宋体" w:hAnsi="宋体" w:eastAsia="宋体"/>
        <w:b w:val="0"/>
        <w:i w:val="0"/>
        <w:sz w:val="18"/>
      </w:rPr>
      <w:fldChar w:fldCharType="begin"/>
      <w:instrText>PAGE</w:instrText>
      <w:fldChar w:fldCharType="end"/>
    </w:r>
    <w:r>
      <w:rPr>
        <w:rFonts w:ascii="宋体" w:hAnsi="宋体" w:eastAsia="宋体"/>
        <w:b w:val="0"/>
        <w:i w:val="0"/>
        <w:sz w:val="18"/>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宋体" w:hAnsi="宋体" w:eastAsia="宋体"/>
        <w:b w:val="0"/>
        <w:i w:val="0"/>
        <w:sz w:val="18"/>
      </w:rPr>
      <w:t>浙江大学</w:t>
    </w:r>
    <w:r>
      <w:t xml:space="preserve">                                                                 </w:t>
    </w:r>
    <w:r>
      <w:rPr>
        <w:rFonts w:ascii="宋体" w:hAnsi="宋体" w:eastAsia="宋体"/>
        <w:b w:val="0"/>
        <w:i w:val="0"/>
        <w:sz w:val="18"/>
      </w:rPr>
      <w:t>附录：数据来源说明</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