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evaluation fixture: 2025 Northstar quarterly report</w:t>
      </w:r>
    </w:p>
    <w:p>
      <w:r>
        <w:t>Fictional data for KNOWNEST evaluation only. Amounts are in million CNY; headcount is people.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Q1 revenue (million CNY)</w:t>
            </w:r>
          </w:p>
        </w:tc>
        <w:tc>
          <w:tcPr>
            <w:tcW w:type="dxa" w:w="2160"/>
          </w:tcPr>
          <w:p>
            <w:r>
              <w:t>Q2 revenue (million CNY)</w:t>
            </w:r>
          </w:p>
        </w:tc>
        <w:tc>
          <w:tcPr>
            <w:tcW w:type="dxa" w:w="2160"/>
          </w:tcPr>
          <w:p>
            <w:r>
              <w:t>Headcount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>
      <w:r>
        <w:t>No budget, profit margin, or employee names are included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KNOWNEST evaluation fixture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