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72A318B">
      <w:pPr>
        <w:pStyle w:val="2"/>
        <w:bidi w:val="0"/>
        <w:rPr>
          <w:rFonts w:hint="eastAsia"/>
          <w:lang w:val="en-US" w:eastAsia="zh-CN"/>
        </w:rPr>
      </w:pPr>
      <w:r>
        <w:rPr>
          <w:rFonts w:hint="eastAsia"/>
          <w:lang w:val="en-US" w:eastAsia="zh-CN"/>
        </w:rPr>
        <w:t>关于征集2026全国企业数智化转型与赋能典型案例的通知</w:t>
      </w:r>
    </w:p>
    <w:p w14:paraId="514A7D76">
      <w:pPr>
        <w:rPr>
          <w:rFonts w:hint="eastAsia"/>
          <w:lang w:val="en-US" w:eastAsia="zh-CN"/>
        </w:rPr>
      </w:pPr>
    </w:p>
    <w:p w14:paraId="08498B29">
      <w:pPr>
        <w:ind w:left="0" w:leftChars="0" w:firstLine="0" w:firstLineChars="0"/>
        <w:rPr>
          <w:rFonts w:hint="eastAsia"/>
          <w:lang w:val="en-US" w:eastAsia="zh-CN"/>
        </w:rPr>
      </w:pPr>
      <w:r>
        <w:rPr>
          <w:rFonts w:hint="eastAsia"/>
          <w:lang w:val="en-US" w:eastAsia="zh-CN"/>
        </w:rPr>
        <w:t>各有关企业：</w:t>
      </w:r>
    </w:p>
    <w:p w14:paraId="340B74A3">
      <w:pPr>
        <w:ind w:left="0" w:leftChars="0" w:firstLine="640" w:firstLineChars="200"/>
        <w:rPr>
          <w:rFonts w:hint="default"/>
          <w:lang w:val="en-US" w:eastAsia="zh-CN"/>
        </w:rPr>
      </w:pPr>
      <w:r>
        <w:rPr>
          <w:rFonts w:hint="default"/>
          <w:lang w:val="en-US" w:eastAsia="zh-CN"/>
        </w:rPr>
        <w:t>为深入贯彻落实国家</w:t>
      </w:r>
      <w:r>
        <w:rPr>
          <w:rFonts w:hint="eastAsia"/>
          <w:lang w:val="en-US" w:eastAsia="zh-CN"/>
        </w:rPr>
        <w:t>“十五五”规划关于“深入推进数字中国建设，提升数智化发展水平”的战略部署，</w:t>
      </w:r>
      <w:r>
        <w:rPr>
          <w:rFonts w:hint="default"/>
          <w:lang w:val="en-US" w:eastAsia="zh-CN"/>
        </w:rPr>
        <w:t>加快推进企业数智化转型，充分发挥典型示范引领作用，总结推广可复制、可推广的数智化转型经验做法，助力</w:t>
      </w:r>
      <w:r>
        <w:rPr>
          <w:rFonts w:hint="eastAsia"/>
          <w:lang w:val="en-US" w:eastAsia="zh-CN"/>
        </w:rPr>
        <w:t>企业高质量发展</w:t>
      </w:r>
      <w:r>
        <w:rPr>
          <w:rFonts w:hint="default"/>
          <w:lang w:val="en-US" w:eastAsia="zh-CN"/>
        </w:rPr>
        <w:t>，</w:t>
      </w:r>
      <w:r>
        <w:rPr>
          <w:rFonts w:hint="eastAsia"/>
          <w:lang w:val="en-US" w:eastAsia="zh-CN"/>
        </w:rPr>
        <w:t>中数联盟组织开展</w:t>
      </w:r>
      <w:r>
        <w:rPr>
          <w:rFonts w:hint="default"/>
          <w:lang w:val="en-US" w:eastAsia="zh-CN"/>
        </w:rPr>
        <w:t>2026全国企业数智化转型与赋能典型案例</w:t>
      </w:r>
      <w:r>
        <w:rPr>
          <w:rFonts w:hint="eastAsia"/>
          <w:lang w:val="en-US" w:eastAsia="zh-CN"/>
        </w:rPr>
        <w:t>征集工作。</w:t>
      </w:r>
      <w:r>
        <w:rPr>
          <w:rFonts w:hint="default"/>
          <w:lang w:val="en-US" w:eastAsia="zh-CN"/>
        </w:rPr>
        <w:t>入选案例将于今年7月在2026全球数字经济大会第五届全国企业数智化转型高层论坛上发布，并面向社会各界进行宣传推广。现将有关事项通知如下：</w:t>
      </w:r>
    </w:p>
    <w:p w14:paraId="18B951A9">
      <w:pPr>
        <w:pStyle w:val="3"/>
        <w:bidi w:val="0"/>
        <w:rPr>
          <w:rFonts w:hint="default"/>
          <w:lang w:val="en-US" w:eastAsia="zh-CN"/>
        </w:rPr>
      </w:pPr>
      <w:r>
        <w:rPr>
          <w:rFonts w:hint="eastAsia"/>
          <w:lang w:val="en-US" w:eastAsia="zh-CN"/>
        </w:rPr>
        <w:t>一</w:t>
      </w:r>
      <w:r>
        <w:rPr>
          <w:rFonts w:hint="default"/>
          <w:lang w:val="en-US" w:eastAsia="zh-CN"/>
        </w:rPr>
        <w:t>、征集对象</w:t>
      </w:r>
    </w:p>
    <w:p w14:paraId="66E6E724">
      <w:pPr>
        <w:ind w:left="0" w:leftChars="0" w:firstLine="640" w:firstLineChars="200"/>
        <w:rPr>
          <w:rFonts w:hint="default"/>
          <w:lang w:val="en-US" w:eastAsia="zh-CN"/>
        </w:rPr>
      </w:pPr>
      <w:r>
        <w:rPr>
          <w:rFonts w:hint="default"/>
          <w:lang w:val="en-US" w:eastAsia="zh-CN"/>
        </w:rPr>
        <w:t>聚焦</w:t>
      </w:r>
      <w:r>
        <w:rPr>
          <w:rFonts w:hint="eastAsia"/>
          <w:lang w:val="en-US" w:eastAsia="zh-CN"/>
        </w:rPr>
        <w:t>企业</w:t>
      </w:r>
      <w:r>
        <w:rPr>
          <w:rFonts w:hint="default"/>
          <w:lang w:val="en-US" w:eastAsia="zh-CN"/>
        </w:rPr>
        <w:t>数智化转型实践，在技术创新、场景应用、提质增效、生态赋能等方面取得显著成效的</w:t>
      </w:r>
      <w:r>
        <w:rPr>
          <w:rFonts w:hint="eastAsia"/>
          <w:lang w:val="en-US" w:eastAsia="zh-CN"/>
        </w:rPr>
        <w:t>优秀企业项目</w:t>
      </w:r>
      <w:r>
        <w:rPr>
          <w:rFonts w:hint="default"/>
          <w:lang w:val="en-US" w:eastAsia="zh-CN"/>
        </w:rPr>
        <w:t>。</w:t>
      </w:r>
    </w:p>
    <w:p w14:paraId="6A68B2CF">
      <w:pPr>
        <w:pStyle w:val="3"/>
        <w:bidi w:val="0"/>
        <w:rPr>
          <w:rFonts w:hint="default"/>
          <w:lang w:val="en-US" w:eastAsia="zh-CN"/>
        </w:rPr>
      </w:pPr>
      <w:r>
        <w:rPr>
          <w:rFonts w:hint="eastAsia"/>
          <w:lang w:val="en-US" w:eastAsia="zh-CN"/>
        </w:rPr>
        <w:t>二</w:t>
      </w:r>
      <w:r>
        <w:rPr>
          <w:rFonts w:hint="default"/>
          <w:lang w:val="en-US" w:eastAsia="zh-CN"/>
        </w:rPr>
        <w:t>、案例</w:t>
      </w:r>
      <w:r>
        <w:rPr>
          <w:rFonts w:hint="eastAsia"/>
          <w:lang w:val="en-US" w:eastAsia="zh-CN"/>
        </w:rPr>
        <w:t>提交内容</w:t>
      </w:r>
      <w:r>
        <w:rPr>
          <w:rFonts w:hint="default"/>
          <w:lang w:val="en-US" w:eastAsia="zh-CN"/>
        </w:rPr>
        <w:t>要求</w:t>
      </w:r>
    </w:p>
    <w:p w14:paraId="347701A6">
      <w:pPr>
        <w:pStyle w:val="4"/>
        <w:bidi w:val="0"/>
        <w:rPr>
          <w:rFonts w:hint="default"/>
          <w:lang w:val="en-US" w:eastAsia="zh-CN"/>
        </w:rPr>
      </w:pPr>
      <w:r>
        <w:rPr>
          <w:rFonts w:hint="default"/>
          <w:lang w:val="en-US" w:eastAsia="zh-CN"/>
        </w:rPr>
        <w:t>（一）2026全国企业数智化转型与赋能十佳案例</w:t>
      </w:r>
    </w:p>
    <w:p w14:paraId="3DC0AD82">
      <w:pPr>
        <w:ind w:left="0" w:leftChars="0" w:firstLine="640" w:firstLineChars="200"/>
        <w:rPr>
          <w:rFonts w:hint="default"/>
          <w:lang w:val="en-US" w:eastAsia="zh-CN"/>
        </w:rPr>
      </w:pPr>
      <w:r>
        <w:rPr>
          <w:rFonts w:hint="eastAsia"/>
          <w:lang w:val="en-US" w:eastAsia="zh-CN"/>
        </w:rPr>
        <w:t>1.</w:t>
      </w:r>
      <w:r>
        <w:rPr>
          <w:rFonts w:hint="default"/>
          <w:lang w:val="en-US" w:eastAsia="zh-CN"/>
        </w:rPr>
        <w:t>企业简介（150字以内）</w:t>
      </w:r>
    </w:p>
    <w:p w14:paraId="3969E0D8">
      <w:pPr>
        <w:ind w:left="0" w:leftChars="0" w:firstLine="640" w:firstLineChars="200"/>
        <w:rPr>
          <w:rFonts w:hint="eastAsia"/>
          <w:lang w:val="en-US" w:eastAsia="zh-CN"/>
        </w:rPr>
      </w:pPr>
      <w:r>
        <w:rPr>
          <w:rFonts w:hint="eastAsia"/>
          <w:lang w:val="en-US" w:eastAsia="zh-CN"/>
        </w:rPr>
        <w:t>2.案例概述（1500字内）：简述案例聚焦解决的痛点需求、主要做法、应用成效。</w:t>
      </w:r>
    </w:p>
    <w:p w14:paraId="144B29D9">
      <w:pPr>
        <w:ind w:left="0" w:leftChars="0" w:firstLine="640" w:firstLineChars="200"/>
        <w:rPr>
          <w:rFonts w:hint="default"/>
          <w:lang w:val="en-US" w:eastAsia="zh-CN"/>
        </w:rPr>
      </w:pPr>
      <w:r>
        <w:rPr>
          <w:rFonts w:hint="eastAsia"/>
          <w:lang w:val="en-US" w:eastAsia="zh-CN"/>
        </w:rPr>
        <w:t>3.案例详情（8000字以内）：围绕</w:t>
      </w:r>
      <w:r>
        <w:rPr>
          <w:rFonts w:hint="default"/>
          <w:lang w:val="en-US" w:eastAsia="zh-CN"/>
        </w:rPr>
        <w:t>技术路径、实施模式、应用场景、实践成效</w:t>
      </w:r>
      <w:r>
        <w:rPr>
          <w:rFonts w:hint="eastAsia"/>
          <w:lang w:val="en-US" w:eastAsia="zh-CN"/>
        </w:rPr>
        <w:t>等方面展开介绍。</w:t>
      </w:r>
    </w:p>
    <w:p w14:paraId="6C1D9948">
      <w:pPr>
        <w:ind w:left="0" w:leftChars="0" w:firstLine="640" w:firstLineChars="200"/>
        <w:rPr>
          <w:rFonts w:hint="default"/>
          <w:lang w:val="en-US" w:eastAsia="zh-CN"/>
        </w:rPr>
      </w:pPr>
      <w:r>
        <w:rPr>
          <w:rFonts w:hint="eastAsia"/>
          <w:lang w:val="en-US" w:eastAsia="zh-CN"/>
        </w:rPr>
        <w:t>4.</w:t>
      </w:r>
      <w:r>
        <w:rPr>
          <w:rFonts w:hint="default"/>
          <w:lang w:val="en-US" w:eastAsia="zh-CN"/>
        </w:rPr>
        <w:t>相关展示材料：企业主体建筑、LOGO、数智化工厂/产品、数智化应用场景等高清照片（JPG格式）</w:t>
      </w:r>
      <w:r>
        <w:rPr>
          <w:rFonts w:hint="eastAsia"/>
          <w:lang w:val="en-US" w:eastAsia="zh-CN"/>
        </w:rPr>
        <w:t>。</w:t>
      </w:r>
    </w:p>
    <w:p w14:paraId="142BE738">
      <w:pPr>
        <w:pStyle w:val="4"/>
        <w:bidi w:val="0"/>
        <w:rPr>
          <w:rFonts w:hint="default"/>
          <w:lang w:val="en-US" w:eastAsia="zh-CN"/>
        </w:rPr>
      </w:pPr>
      <w:r>
        <w:rPr>
          <w:rFonts w:hint="default"/>
          <w:lang w:val="en-US" w:eastAsia="zh-CN"/>
        </w:rPr>
        <w:t>（二）</w:t>
      </w:r>
      <w:r>
        <w:rPr>
          <w:rFonts w:hint="eastAsia" w:ascii="楷体_GB2312" w:hAnsi="楷体_GB2312" w:eastAsia="楷体_GB2312" w:cs="楷体_GB2312"/>
          <w:lang w:val="en-US" w:eastAsia="zh-CN"/>
        </w:rPr>
        <w:t>2026</w:t>
      </w:r>
      <w:r>
        <w:rPr>
          <w:rFonts w:hint="default"/>
          <w:lang w:val="en-US" w:eastAsia="zh-CN"/>
        </w:rPr>
        <w:t>全国企业数智化转型与赋能优秀案例</w:t>
      </w:r>
    </w:p>
    <w:p w14:paraId="2C350074">
      <w:pPr>
        <w:bidi w:val="0"/>
        <w:rPr>
          <w:rFonts w:hint="default"/>
          <w:lang w:val="en-US" w:eastAsia="zh-CN"/>
        </w:rPr>
      </w:pPr>
      <w:r>
        <w:rPr>
          <w:rFonts w:hint="eastAsia" w:ascii="Times New Roman" w:eastAsia="FangSong_GB2312"/>
          <w:lang w:val="en-US" w:eastAsia="zh-CN"/>
        </w:rPr>
        <w:t>1.</w:t>
      </w:r>
      <w:r>
        <w:rPr>
          <w:rFonts w:hint="default"/>
          <w:lang w:val="en-US" w:eastAsia="zh-CN"/>
        </w:rPr>
        <w:t>企业简介（150字以内）</w:t>
      </w:r>
    </w:p>
    <w:p w14:paraId="4CC174B9">
      <w:pPr>
        <w:bidi w:val="0"/>
        <w:rPr>
          <w:rFonts w:hint="eastAsia"/>
          <w:lang w:val="en-US" w:eastAsia="zh-CN"/>
        </w:rPr>
      </w:pPr>
      <w:r>
        <w:rPr>
          <w:rFonts w:hint="eastAsia"/>
          <w:lang w:val="en-US" w:eastAsia="zh-CN"/>
        </w:rPr>
        <w:t>2.案例概述（500字内）：简述案例聚焦解决的痛点需求、主要做法、应用成效。</w:t>
      </w:r>
    </w:p>
    <w:p w14:paraId="2D575032">
      <w:pPr>
        <w:bidi w:val="0"/>
        <w:rPr>
          <w:rFonts w:hint="eastAsia"/>
          <w:lang w:val="en-US" w:eastAsia="zh-CN"/>
        </w:rPr>
      </w:pPr>
      <w:r>
        <w:rPr>
          <w:rFonts w:hint="eastAsia"/>
          <w:lang w:val="en-US" w:eastAsia="zh-CN"/>
        </w:rPr>
        <w:t>3.案例详情（5000字以内）：围绕技术路径、实施模式、应用场景、实践成效等方面展开介绍。</w:t>
      </w:r>
    </w:p>
    <w:p w14:paraId="1C261580">
      <w:pPr>
        <w:bidi w:val="0"/>
        <w:rPr>
          <w:rFonts w:hint="default"/>
          <w:lang w:val="en-US" w:eastAsia="zh-CN"/>
        </w:rPr>
      </w:pPr>
      <w:r>
        <w:rPr>
          <w:rFonts w:hint="eastAsia"/>
          <w:lang w:val="en-US" w:eastAsia="zh-CN"/>
        </w:rPr>
        <w:t>4.</w:t>
      </w:r>
      <w:r>
        <w:rPr>
          <w:rFonts w:hint="default"/>
          <w:lang w:val="en-US" w:eastAsia="zh-CN"/>
        </w:rPr>
        <w:t>相关</w:t>
      </w:r>
      <w:r>
        <w:rPr>
          <w:rFonts w:hint="eastAsia"/>
          <w:lang w:val="en-US" w:eastAsia="zh-CN"/>
        </w:rPr>
        <w:t>展示</w:t>
      </w:r>
      <w:r>
        <w:rPr>
          <w:rFonts w:hint="default"/>
          <w:lang w:val="en-US" w:eastAsia="zh-CN"/>
        </w:rPr>
        <w:t>材料：</w:t>
      </w:r>
      <w:r>
        <w:rPr>
          <w:rFonts w:hint="eastAsia"/>
          <w:lang w:val="en-US" w:eastAsia="zh-CN"/>
        </w:rPr>
        <w:t>企业主体建筑</w:t>
      </w:r>
      <w:r>
        <w:rPr>
          <w:rFonts w:hint="default"/>
          <w:lang w:val="en-US" w:eastAsia="zh-CN"/>
        </w:rPr>
        <w:t>、LOGO、数智化工厂/产品、数智化应用场景等高清照片（JPG格式）</w:t>
      </w:r>
      <w:r>
        <w:rPr>
          <w:rFonts w:hint="eastAsia"/>
          <w:lang w:val="en-US" w:eastAsia="zh-CN"/>
        </w:rPr>
        <w:t>。</w:t>
      </w:r>
    </w:p>
    <w:p w14:paraId="7D9E1E8E">
      <w:pPr>
        <w:pStyle w:val="4"/>
        <w:bidi w:val="0"/>
        <w:rPr>
          <w:rFonts w:hint="default"/>
          <w:lang w:val="en-US" w:eastAsia="zh-CN"/>
        </w:rPr>
      </w:pPr>
      <w:r>
        <w:rPr>
          <w:rFonts w:hint="default"/>
          <w:lang w:val="en-US" w:eastAsia="zh-CN"/>
        </w:rPr>
        <w:t>（三）基本申报要求</w:t>
      </w:r>
    </w:p>
    <w:p w14:paraId="405680BF">
      <w:pPr>
        <w:ind w:left="0" w:leftChars="0" w:firstLine="640" w:firstLineChars="200"/>
        <w:rPr>
          <w:rFonts w:hint="default"/>
          <w:lang w:val="en-US" w:eastAsia="zh-CN"/>
        </w:rPr>
      </w:pPr>
      <w:r>
        <w:rPr>
          <w:rFonts w:hint="default"/>
          <w:lang w:val="en-US" w:eastAsia="zh-CN"/>
        </w:rPr>
        <w:t>案例真实可信、数据准确，无知识产权争议，符合国家法律法规及数字经济相关政策导向</w:t>
      </w:r>
      <w:r>
        <w:rPr>
          <w:rFonts w:hint="eastAsia"/>
          <w:lang w:val="en-US" w:eastAsia="zh-CN"/>
        </w:rPr>
        <w:t>；</w:t>
      </w:r>
      <w:r>
        <w:rPr>
          <w:rFonts w:hint="default"/>
          <w:lang w:val="en-US" w:eastAsia="zh-CN"/>
        </w:rPr>
        <w:t>具备创新性、示范性、可推广性，能够为同行业及各类企业数智化转型提供参考借鉴</w:t>
      </w:r>
      <w:r>
        <w:rPr>
          <w:rFonts w:hint="eastAsia"/>
          <w:lang w:val="en-US" w:eastAsia="zh-CN"/>
        </w:rPr>
        <w:t>。</w:t>
      </w:r>
    </w:p>
    <w:p w14:paraId="0E0C3C0D">
      <w:pPr>
        <w:pStyle w:val="3"/>
        <w:bidi w:val="0"/>
        <w:rPr>
          <w:rFonts w:hint="default"/>
          <w:lang w:val="en-US" w:eastAsia="zh-CN"/>
        </w:rPr>
      </w:pPr>
      <w:r>
        <w:rPr>
          <w:rFonts w:hint="eastAsia"/>
          <w:lang w:val="en-US" w:eastAsia="zh-CN"/>
        </w:rPr>
        <w:t>三</w:t>
      </w:r>
      <w:r>
        <w:rPr>
          <w:rFonts w:hint="default"/>
          <w:lang w:val="en-US" w:eastAsia="zh-CN"/>
        </w:rPr>
        <w:t>、申报时间及方式</w:t>
      </w:r>
    </w:p>
    <w:p w14:paraId="54285993">
      <w:pPr>
        <w:pStyle w:val="4"/>
        <w:bidi w:val="0"/>
        <w:rPr>
          <w:rFonts w:hint="default"/>
          <w:lang w:val="en-US" w:eastAsia="zh-CN"/>
        </w:rPr>
      </w:pPr>
      <w:r>
        <w:rPr>
          <w:rFonts w:hint="default"/>
          <w:lang w:val="en-US" w:eastAsia="zh-CN"/>
        </w:rPr>
        <w:t>（一）征集时间</w:t>
      </w:r>
    </w:p>
    <w:p w14:paraId="400190F5">
      <w:pPr>
        <w:ind w:left="0" w:leftChars="0" w:firstLine="640" w:firstLineChars="200"/>
        <w:rPr>
          <w:rFonts w:hint="default"/>
          <w:lang w:val="en-US" w:eastAsia="zh-CN"/>
        </w:rPr>
      </w:pPr>
      <w:r>
        <w:rPr>
          <w:rFonts w:hint="default"/>
          <w:lang w:val="en-US" w:eastAsia="zh-CN"/>
        </w:rPr>
        <w:t>即日起至2026年5月</w:t>
      </w:r>
      <w:r>
        <w:rPr>
          <w:rFonts w:hint="eastAsia"/>
          <w:lang w:val="en-US" w:eastAsia="zh-CN"/>
        </w:rPr>
        <w:t>29</w:t>
      </w:r>
      <w:r>
        <w:rPr>
          <w:rFonts w:hint="default"/>
          <w:lang w:val="en-US" w:eastAsia="zh-CN"/>
        </w:rPr>
        <w:t>日止，逾期不予受理。</w:t>
      </w:r>
    </w:p>
    <w:p w14:paraId="3A698ACD">
      <w:pPr>
        <w:pStyle w:val="4"/>
        <w:bidi w:val="0"/>
        <w:rPr>
          <w:rFonts w:hint="default"/>
          <w:lang w:val="en-US" w:eastAsia="zh-CN"/>
        </w:rPr>
      </w:pPr>
      <w:r>
        <w:rPr>
          <w:rFonts w:hint="default"/>
          <w:lang w:val="en-US" w:eastAsia="zh-CN"/>
        </w:rPr>
        <w:t>（二）提交方式</w:t>
      </w:r>
    </w:p>
    <w:p w14:paraId="6BB0F0B8">
      <w:pPr>
        <w:ind w:left="0" w:leftChars="0" w:firstLine="640" w:firstLineChars="200"/>
        <w:rPr>
          <w:rFonts w:hint="default"/>
          <w:lang w:val="en-US" w:eastAsia="zh-CN"/>
        </w:rPr>
      </w:pPr>
      <w:r>
        <w:rPr>
          <w:rFonts w:hint="default"/>
          <w:lang w:val="en-US" w:eastAsia="zh-CN"/>
        </w:rPr>
        <w:t>文字材料采用Word版本，图片采用JPG格式，打包为压缩文件</w:t>
      </w:r>
      <w:r>
        <w:rPr>
          <w:rFonts w:hint="eastAsia"/>
          <w:lang w:val="en-US" w:eastAsia="zh-CN"/>
        </w:rPr>
        <w:t>，并</w:t>
      </w:r>
      <w:r>
        <w:rPr>
          <w:rFonts w:hint="default"/>
          <w:lang w:val="en-US" w:eastAsia="zh-CN"/>
        </w:rPr>
        <w:t>发送至邮箱：</w:t>
      </w:r>
      <w:r>
        <w:rPr>
          <w:rFonts w:hint="default"/>
          <w:highlight w:val="none"/>
          <w:lang w:val="en-US" w:eastAsia="zh-CN"/>
        </w:rPr>
        <w:t>599321147</w:t>
      </w:r>
      <w:r>
        <w:rPr>
          <w:rFonts w:hint="eastAsia" w:ascii="仿宋" w:hAnsi="仿宋" w:eastAsia="仿宋" w:cs="仿宋"/>
          <w:highlight w:val="none"/>
        </w:rPr>
        <w:t>@</w:t>
      </w:r>
      <w:r>
        <w:rPr>
          <w:rFonts w:hint="default"/>
          <w:highlight w:val="none"/>
          <w:lang w:val="en-US" w:eastAsia="zh-CN"/>
        </w:rPr>
        <w:t>qq.com</w:t>
      </w:r>
      <w:r>
        <w:rPr>
          <w:rFonts w:hint="eastAsia"/>
          <w:highlight w:val="none"/>
          <w:lang w:val="en-US" w:eastAsia="zh-CN"/>
        </w:rPr>
        <w:t>。</w:t>
      </w:r>
      <w:r>
        <w:rPr>
          <w:rFonts w:hint="default"/>
          <w:highlight w:val="none"/>
          <w:lang w:val="en-US" w:eastAsia="zh-CN"/>
        </w:rPr>
        <w:t>邮</w:t>
      </w:r>
      <w:r>
        <w:rPr>
          <w:rFonts w:hint="default"/>
          <w:lang w:val="en-US" w:eastAsia="zh-CN"/>
        </w:rPr>
        <w:t>件主题严格按照“</w:t>
      </w:r>
      <w:r>
        <w:rPr>
          <w:rFonts w:hint="eastAsia"/>
          <w:lang w:val="en-US" w:eastAsia="zh-CN"/>
        </w:rPr>
        <w:t>2026全国企业数智化转型与赋能典型案例-</w:t>
      </w:r>
      <w:r>
        <w:rPr>
          <w:rFonts w:hint="default"/>
          <w:lang w:val="en-US" w:eastAsia="zh-CN"/>
        </w:rPr>
        <w:t>单位简称-案例名称”格式填写</w:t>
      </w:r>
      <w:r>
        <w:rPr>
          <w:rFonts w:hint="eastAsia"/>
          <w:lang w:val="en-US" w:eastAsia="zh-CN"/>
        </w:rPr>
        <w:t>。</w:t>
      </w:r>
    </w:p>
    <w:p w14:paraId="7C47525C">
      <w:pPr>
        <w:pStyle w:val="3"/>
        <w:bidi w:val="0"/>
        <w:rPr>
          <w:rFonts w:hint="default"/>
          <w:lang w:val="en-US" w:eastAsia="zh-CN"/>
        </w:rPr>
      </w:pPr>
      <w:r>
        <w:rPr>
          <w:rFonts w:hint="eastAsia"/>
          <w:lang w:val="en-US" w:eastAsia="zh-CN"/>
        </w:rPr>
        <w:t>四</w:t>
      </w:r>
      <w:r>
        <w:rPr>
          <w:rFonts w:hint="default"/>
          <w:lang w:val="en-US" w:eastAsia="zh-CN"/>
        </w:rPr>
        <w:t>、评审与发布</w:t>
      </w:r>
    </w:p>
    <w:p w14:paraId="134790DC">
      <w:pPr>
        <w:ind w:left="0" w:leftChars="0" w:firstLine="640" w:firstLineChars="200"/>
        <w:rPr>
          <w:rFonts w:hint="default"/>
          <w:lang w:val="en-US" w:eastAsia="zh-CN"/>
        </w:rPr>
      </w:pPr>
      <w:r>
        <w:rPr>
          <w:rFonts w:hint="eastAsia"/>
          <w:lang w:val="en-US" w:eastAsia="zh-CN"/>
        </w:rPr>
        <w:t>中数联盟</w:t>
      </w:r>
      <w:r>
        <w:rPr>
          <w:rFonts w:hint="default"/>
          <w:lang w:val="en-US" w:eastAsia="zh-CN"/>
        </w:rPr>
        <w:t>将邀请领域内权威专家学者组成评审委员会，对申报案例进行公平、公正评审</w:t>
      </w:r>
      <w:r>
        <w:rPr>
          <w:rFonts w:hint="eastAsia"/>
          <w:lang w:val="en-US" w:eastAsia="zh-CN"/>
        </w:rPr>
        <w:t>，</w:t>
      </w:r>
      <w:r>
        <w:rPr>
          <w:rFonts w:hint="default"/>
          <w:lang w:val="en-US" w:eastAsia="zh-CN"/>
        </w:rPr>
        <w:t>遴选优秀案例汇编列入《2026全国企业数智化转型</w:t>
      </w:r>
      <w:r>
        <w:rPr>
          <w:rFonts w:hint="eastAsia"/>
          <w:lang w:val="en-US" w:eastAsia="zh-CN"/>
        </w:rPr>
        <w:t>与赋能</w:t>
      </w:r>
      <w:r>
        <w:rPr>
          <w:rFonts w:hint="default"/>
          <w:lang w:val="en-US" w:eastAsia="zh-CN"/>
        </w:rPr>
        <w:t>典型案例研究报告》</w:t>
      </w:r>
      <w:r>
        <w:rPr>
          <w:rFonts w:hint="eastAsia"/>
          <w:lang w:val="en-US" w:eastAsia="zh-CN"/>
        </w:rPr>
        <w:t>。</w:t>
      </w:r>
      <w:r>
        <w:rPr>
          <w:rFonts w:hint="default"/>
          <w:lang w:val="en-US" w:eastAsia="zh-CN"/>
        </w:rPr>
        <w:t>入选案例将在联盟官网、官方微信公众号及2026全球数字经济大会第五届全国企业数智化转型高层论坛现场公开发布</w:t>
      </w:r>
      <w:r>
        <w:rPr>
          <w:rFonts w:hint="eastAsia"/>
          <w:lang w:val="en-US" w:eastAsia="zh-CN"/>
        </w:rPr>
        <w:t>，</w:t>
      </w:r>
      <w:r>
        <w:rPr>
          <w:rFonts w:hint="default"/>
          <w:lang w:val="en-US" w:eastAsia="zh-CN"/>
        </w:rPr>
        <w:t>同步向国家有关部委、</w:t>
      </w:r>
      <w:r>
        <w:rPr>
          <w:rFonts w:hint="eastAsia"/>
          <w:lang w:val="en-US" w:eastAsia="zh-CN"/>
        </w:rPr>
        <w:t>央国企、行业企业及社会各界</w:t>
      </w:r>
      <w:r>
        <w:rPr>
          <w:rFonts w:hint="default"/>
          <w:lang w:val="en-US" w:eastAsia="zh-CN"/>
        </w:rPr>
        <w:t>推介，开展多渠道宣传推广</w:t>
      </w:r>
      <w:r>
        <w:rPr>
          <w:rFonts w:hint="eastAsia"/>
          <w:lang w:val="en-US" w:eastAsia="zh-CN"/>
        </w:rPr>
        <w:t>。</w:t>
      </w:r>
    </w:p>
    <w:p w14:paraId="28083D20">
      <w:pPr>
        <w:pStyle w:val="3"/>
        <w:bidi w:val="0"/>
        <w:rPr>
          <w:rFonts w:hint="default"/>
          <w:lang w:val="en-US" w:eastAsia="zh-CN"/>
        </w:rPr>
      </w:pPr>
      <w:r>
        <w:rPr>
          <w:rFonts w:hint="eastAsia"/>
          <w:lang w:val="en-US" w:eastAsia="zh-CN"/>
        </w:rPr>
        <w:t>五</w:t>
      </w:r>
      <w:r>
        <w:rPr>
          <w:rFonts w:hint="default"/>
          <w:lang w:val="en-US" w:eastAsia="zh-CN"/>
        </w:rPr>
        <w:t>、其他事项</w:t>
      </w:r>
    </w:p>
    <w:p w14:paraId="5D0458E5">
      <w:pPr>
        <w:ind w:left="0" w:leftChars="0" w:firstLine="640" w:firstLineChars="200"/>
        <w:rPr>
          <w:rFonts w:hint="default"/>
          <w:lang w:val="en-US" w:eastAsia="zh-CN"/>
        </w:rPr>
      </w:pPr>
      <w:r>
        <w:rPr>
          <w:rFonts w:hint="eastAsia"/>
          <w:lang w:val="en-US" w:eastAsia="zh-CN"/>
        </w:rPr>
        <w:t>案例</w:t>
      </w:r>
      <w:r>
        <w:rPr>
          <w:rFonts w:hint="default"/>
          <w:lang w:val="en-US" w:eastAsia="zh-CN"/>
        </w:rPr>
        <w:t>申报材料不予退还，</w:t>
      </w:r>
      <w:r>
        <w:rPr>
          <w:rFonts w:hint="eastAsia"/>
          <w:lang w:val="en-US" w:eastAsia="zh-CN"/>
        </w:rPr>
        <w:t>中数联盟</w:t>
      </w:r>
      <w:r>
        <w:rPr>
          <w:rFonts w:hint="default"/>
          <w:lang w:val="en-US" w:eastAsia="zh-CN"/>
        </w:rPr>
        <w:t>有权对案例进行宣传、推广、汇编等非商业使用</w:t>
      </w:r>
      <w:r>
        <w:rPr>
          <w:rFonts w:hint="eastAsia"/>
          <w:lang w:val="en-US" w:eastAsia="zh-CN"/>
        </w:rPr>
        <w:t>。</w:t>
      </w:r>
    </w:p>
    <w:p w14:paraId="7310ECA9">
      <w:pPr>
        <w:pStyle w:val="3"/>
        <w:bidi w:val="0"/>
        <w:rPr>
          <w:rFonts w:hint="default"/>
          <w:lang w:val="en-US" w:eastAsia="zh-CN"/>
        </w:rPr>
      </w:pPr>
      <w:r>
        <w:rPr>
          <w:rFonts w:hint="eastAsia"/>
          <w:lang w:val="en-US" w:eastAsia="zh-CN"/>
        </w:rPr>
        <w:t>六</w:t>
      </w:r>
      <w:r>
        <w:rPr>
          <w:rFonts w:hint="default"/>
          <w:lang w:val="en-US" w:eastAsia="zh-CN"/>
        </w:rPr>
        <w:t>、联系方式</w:t>
      </w:r>
    </w:p>
    <w:p w14:paraId="6E2CE724">
      <w:pPr>
        <w:ind w:left="0" w:leftChars="0" w:firstLine="640" w:firstLineChars="200"/>
        <w:rPr>
          <w:rFonts w:hint="default"/>
          <w:highlight w:val="none"/>
          <w:lang w:val="en-US" w:eastAsia="zh-CN"/>
        </w:rPr>
      </w:pPr>
      <w:bookmarkStart w:id="0" w:name="_GoBack"/>
      <w:r>
        <w:rPr>
          <w:rFonts w:hint="default"/>
          <w:highlight w:val="none"/>
          <w:lang w:val="en-US" w:eastAsia="zh-CN"/>
        </w:rPr>
        <w:t>联系人：</w:t>
      </w:r>
      <w:r>
        <w:rPr>
          <w:rFonts w:hint="eastAsia"/>
          <w:highlight w:val="none"/>
          <w:lang w:val="en-US" w:eastAsia="zh-CN"/>
        </w:rPr>
        <w:t>于雪</w:t>
      </w:r>
    </w:p>
    <w:p w14:paraId="5C76B984">
      <w:pPr>
        <w:ind w:left="0" w:leftChars="0" w:firstLine="640" w:firstLineChars="200"/>
        <w:rPr>
          <w:rFonts w:hint="default"/>
          <w:highlight w:val="none"/>
          <w:lang w:val="en-US" w:eastAsia="zh-CN"/>
        </w:rPr>
      </w:pPr>
      <w:r>
        <w:rPr>
          <w:rFonts w:hint="default"/>
          <w:highlight w:val="none"/>
          <w:lang w:val="en-US" w:eastAsia="zh-CN"/>
        </w:rPr>
        <w:t>联系电话：1</w:t>
      </w:r>
      <w:r>
        <w:rPr>
          <w:rFonts w:hint="eastAsia"/>
          <w:highlight w:val="none"/>
          <w:lang w:val="en-US" w:eastAsia="zh-CN"/>
        </w:rPr>
        <w:t>5901101714</w:t>
      </w:r>
      <w:r>
        <w:rPr>
          <w:rFonts w:hint="default"/>
          <w:highlight w:val="none"/>
          <w:lang w:val="en-US" w:eastAsia="zh-CN"/>
        </w:rPr>
        <w:t>；010-65261677</w:t>
      </w:r>
    </w:p>
    <w:bookmarkEnd w:id="0"/>
    <w:p w14:paraId="717F0DB6">
      <w:pPr>
        <w:ind w:left="0" w:leftChars="0" w:firstLine="640" w:firstLineChars="200"/>
        <w:rPr>
          <w:rFonts w:hint="default"/>
          <w:lang w:val="en-US" w:eastAsia="zh-CN"/>
        </w:rPr>
      </w:pPr>
    </w:p>
    <w:p w14:paraId="1C1CE7E0">
      <w:pPr>
        <w:ind w:left="0" w:leftChars="0" w:firstLine="640" w:firstLineChars="200"/>
        <w:jc w:val="right"/>
        <w:rPr>
          <w:rFonts w:hint="eastAsia"/>
          <w:lang w:val="en-US" w:eastAsia="zh-CN"/>
        </w:rPr>
      </w:pPr>
      <w:r>
        <w:rPr>
          <w:rFonts w:hint="eastAsia"/>
          <w:lang w:val="en-US" w:eastAsia="zh-CN"/>
        </w:rPr>
        <w:t>中关村数字经济产业联盟</w:t>
      </w:r>
    </w:p>
    <w:p w14:paraId="165D026B">
      <w:pPr>
        <w:wordWrap w:val="0"/>
        <w:ind w:left="0" w:leftChars="0" w:firstLine="640" w:firstLineChars="200"/>
        <w:jc w:val="right"/>
        <w:rPr>
          <w:rFonts w:hint="eastAsia"/>
          <w:highlight w:val="none"/>
          <w:lang w:val="en-US" w:eastAsia="zh-CN"/>
        </w:rPr>
      </w:pPr>
      <w:r>
        <w:rPr>
          <w:rFonts w:hint="eastAsia"/>
          <w:highlight w:val="none"/>
          <w:lang w:val="en-US" w:eastAsia="zh-CN"/>
        </w:rPr>
        <w:t xml:space="preserve">2026年5月11日  </w:t>
      </w:r>
    </w:p>
    <w:p w14:paraId="417522B3">
      <w:pPr>
        <w:rPr>
          <w:rFonts w:hint="eastAsia"/>
          <w:lang w:val="en-US" w:eastAsia="zh-CN"/>
        </w:rPr>
      </w:pPr>
      <w:r>
        <w:rPr>
          <w:rFonts w:hint="eastAsia"/>
          <w:lang w:val="en-US" w:eastAsia="zh-CN"/>
        </w:rPr>
        <w:br w:type="page"/>
      </w:r>
    </w:p>
    <w:p w14:paraId="64116D4A">
      <w:pPr>
        <w:bidi w:val="0"/>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附件</w:t>
      </w:r>
    </w:p>
    <w:p w14:paraId="10131102">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方正小标宋_GBK" w:hAnsi="方正小标宋_GBK" w:eastAsia="方正小标宋_GBK" w:cs="方正小标宋_GBK"/>
          <w:kern w:val="44"/>
          <w:sz w:val="44"/>
          <w:szCs w:val="24"/>
          <w:lang w:val="en-US" w:eastAsia="zh-CN" w:bidi="ar-SA"/>
        </w:rPr>
      </w:pPr>
    </w:p>
    <w:p w14:paraId="4894EE14">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方正小标宋_GBK" w:hAnsi="方正小标宋_GBK" w:eastAsia="方正小标宋_GBK" w:cs="方正小标宋_GBK"/>
          <w:kern w:val="44"/>
          <w:sz w:val="36"/>
          <w:szCs w:val="21"/>
          <w:lang w:val="en-US" w:eastAsia="zh-CN" w:bidi="ar-SA"/>
        </w:rPr>
      </w:pPr>
      <w:r>
        <w:rPr>
          <w:rFonts w:hint="eastAsia" w:ascii="方正小标宋_GBK" w:hAnsi="方正小标宋_GBK" w:eastAsia="方正小标宋_GBK" w:cs="方正小标宋_GBK"/>
          <w:kern w:val="44"/>
          <w:sz w:val="36"/>
          <w:szCs w:val="21"/>
          <w:lang w:val="en-US" w:eastAsia="zh-CN" w:bidi="ar-SA"/>
        </w:rPr>
        <w:t>《2026全国企业数智化转型与赋能典型案例征集表》</w:t>
      </w:r>
    </w:p>
    <w:p w14:paraId="1BE37138">
      <w:pPr>
        <w:pageBreakBefore w:val="0"/>
        <w:widowControl w:val="0"/>
        <w:kinsoku/>
        <w:wordWrap/>
        <w:overflowPunct/>
        <w:topLinePunct w:val="0"/>
        <w:autoSpaceDE/>
        <w:autoSpaceDN/>
        <w:bidi w:val="0"/>
        <w:adjustRightInd/>
        <w:snapToGrid/>
        <w:spacing w:line="560" w:lineRule="exact"/>
        <w:jc w:val="center"/>
        <w:textAlignment w:val="auto"/>
        <w:rPr>
          <w:rFonts w:hint="eastAsia"/>
          <w:lang w:val="en-US" w:eastAsia="zh-CN"/>
        </w:rPr>
      </w:pP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3"/>
        <w:gridCol w:w="1894"/>
        <w:gridCol w:w="2091"/>
        <w:gridCol w:w="2332"/>
      </w:tblGrid>
      <w:tr w14:paraId="2AA8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0" w:type="dxa"/>
            <w:gridSpan w:val="4"/>
          </w:tcPr>
          <w:p w14:paraId="332D4E93">
            <w:pPr>
              <w:pageBreakBefore w:val="0"/>
              <w:widowControl w:val="0"/>
              <w:kinsoku/>
              <w:wordWrap/>
              <w:overflowPunct/>
              <w:topLinePunct w:val="0"/>
              <w:autoSpaceDE/>
              <w:autoSpaceDN/>
              <w:bidi w:val="0"/>
              <w:adjustRightInd/>
              <w:snapToGrid/>
              <w:spacing w:line="560" w:lineRule="exact"/>
              <w:ind w:left="0" w:leftChars="0" w:firstLine="0" w:firstLineChars="0"/>
              <w:jc w:val="left"/>
              <w:textAlignment w:val="auto"/>
              <w:rPr>
                <w:rFonts w:hint="eastAsia" w:ascii="仿宋_GB2312" w:hAnsi="仿宋_GB2312" w:eastAsia="仿宋_GB2312" w:cs="仿宋_GB2312"/>
                <w:b/>
                <w:bCs/>
                <w:sz w:val="28"/>
                <w:szCs w:val="28"/>
                <w:vertAlign w:val="baseline"/>
                <w:lang w:val="en-US" w:eastAsia="zh-CN"/>
              </w:rPr>
            </w:pPr>
            <w:r>
              <w:rPr>
                <w:rFonts w:hint="eastAsia" w:ascii="SimSun" w:hAnsi="SimSun" w:eastAsia="宋体" w:cs="仿宋_GB2312"/>
                <w:b/>
                <w:bCs/>
                <w:sz w:val="28"/>
                <w:szCs w:val="28"/>
                <w:vertAlign w:val="baseline"/>
                <w:lang w:val="en-US" w:eastAsia="zh-CN"/>
              </w:rPr>
              <w:t>一、申报单位基本信息</w:t>
            </w:r>
          </w:p>
        </w:tc>
      </w:tr>
      <w:tr w14:paraId="55B76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2483" w:type="dxa"/>
          </w:tcPr>
          <w:p w14:paraId="7D980850">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企业名称</w:t>
            </w:r>
          </w:p>
        </w:tc>
        <w:tc>
          <w:tcPr>
            <w:tcW w:w="1894" w:type="dxa"/>
            <w:vAlign w:val="center"/>
          </w:tcPr>
          <w:p w14:paraId="00236142">
            <w:pPr>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28"/>
                <w:szCs w:val="28"/>
                <w:vertAlign w:val="baseline"/>
                <w:lang w:val="en-US" w:eastAsia="zh-CN"/>
              </w:rPr>
            </w:pPr>
            <w:r>
              <w:rPr>
                <w:rFonts w:ascii="SimSun" w:hAnsi="SimSun" w:eastAsia="宋体"/>
                <w:b w:val="0"/>
                <w:sz w:val="21"/>
              </w:rPr>
              <w:t>北京轻松怡康信息技术有限公司</w:t>
            </w:r>
          </w:p>
        </w:tc>
        <w:tc>
          <w:tcPr>
            <w:tcW w:w="2091" w:type="dxa"/>
          </w:tcPr>
          <w:p w14:paraId="1DB2BE29">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所属行业</w:t>
            </w:r>
          </w:p>
        </w:tc>
        <w:tc>
          <w:tcPr>
            <w:tcW w:w="2332" w:type="dxa"/>
            <w:vAlign w:val="center"/>
          </w:tcPr>
          <w:p w14:paraId="1939E74E">
            <w:pPr>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28"/>
                <w:szCs w:val="28"/>
                <w:vertAlign w:val="baseline"/>
                <w:lang w:val="en-US" w:eastAsia="zh-CN"/>
              </w:rPr>
            </w:pPr>
            <w:r>
              <w:rPr>
                <w:rFonts w:ascii="SimSun" w:hAnsi="SimSun" w:eastAsia="宋体"/>
                <w:b w:val="0"/>
                <w:sz w:val="21"/>
              </w:rPr>
              <w:t>医疗健康服务 / 人工智能 / 数字经济</w:t>
            </w:r>
          </w:p>
        </w:tc>
      </w:tr>
      <w:tr w14:paraId="28E8C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dxa"/>
          </w:tcPr>
          <w:p w14:paraId="7042938C">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地    址</w:t>
            </w:r>
          </w:p>
        </w:tc>
        <w:tc>
          <w:tcPr>
            <w:tcW w:w="6317" w:type="dxa"/>
            <w:gridSpan w:val="3"/>
            <w:vAlign w:val="center"/>
          </w:tcPr>
          <w:p w14:paraId="2CED117C">
            <w:pPr>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28"/>
                <w:szCs w:val="28"/>
                <w:vertAlign w:val="baseline"/>
                <w:lang w:val="en-US" w:eastAsia="zh-CN"/>
              </w:rPr>
            </w:pPr>
            <w:r>
              <w:rPr>
                <w:rFonts w:ascii="SimSun" w:hAnsi="SimSun" w:eastAsia="宋体"/>
                <w:b w:val="0"/>
                <w:sz w:val="21"/>
              </w:rPr>
              <w:t>待补充：请以营业执照注册地址为准</w:t>
            </w:r>
          </w:p>
        </w:tc>
      </w:tr>
      <w:tr w14:paraId="20E86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dxa"/>
          </w:tcPr>
          <w:p w14:paraId="10C7B8D3">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联 系 人</w:t>
            </w:r>
          </w:p>
        </w:tc>
        <w:tc>
          <w:tcPr>
            <w:tcW w:w="1894" w:type="dxa"/>
            <w:vAlign w:val="center"/>
          </w:tcPr>
          <w:p w14:paraId="51287F3F">
            <w:pPr>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28"/>
                <w:szCs w:val="28"/>
                <w:vertAlign w:val="baseline"/>
                <w:lang w:val="en-US" w:eastAsia="zh-CN"/>
              </w:rPr>
            </w:pPr>
            <w:r>
              <w:rPr>
                <w:rFonts w:ascii="SimSun" w:hAnsi="SimSun" w:eastAsia="宋体"/>
                <w:b w:val="0"/>
                <w:sz w:val="21"/>
              </w:rPr>
              <w:t>待补充</w:t>
            </w:r>
          </w:p>
        </w:tc>
        <w:tc>
          <w:tcPr>
            <w:tcW w:w="2091" w:type="dxa"/>
          </w:tcPr>
          <w:p w14:paraId="0B5B9069">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联系方式</w:t>
            </w:r>
          </w:p>
        </w:tc>
        <w:tc>
          <w:tcPr>
            <w:tcW w:w="2332" w:type="dxa"/>
            <w:vAlign w:val="center"/>
          </w:tcPr>
          <w:p w14:paraId="151E1694">
            <w:pPr>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28"/>
                <w:szCs w:val="28"/>
                <w:vertAlign w:val="baseline"/>
                <w:lang w:val="en-US" w:eastAsia="zh-CN"/>
              </w:rPr>
            </w:pPr>
            <w:r>
              <w:rPr>
                <w:rFonts w:ascii="SimSun" w:hAnsi="SimSun" w:eastAsia="宋体"/>
                <w:b w:val="0"/>
                <w:sz w:val="21"/>
              </w:rPr>
              <w:t>待补充</w:t>
            </w:r>
          </w:p>
        </w:tc>
      </w:tr>
      <w:tr w14:paraId="73BF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0" w:type="dxa"/>
            <w:gridSpan w:val="4"/>
          </w:tcPr>
          <w:p w14:paraId="53765922">
            <w:pPr>
              <w:pageBreakBefore w:val="0"/>
              <w:widowControl w:val="0"/>
              <w:kinsoku/>
              <w:wordWrap/>
              <w:overflowPunct/>
              <w:topLinePunct w:val="0"/>
              <w:autoSpaceDE/>
              <w:autoSpaceDN/>
              <w:bidi w:val="0"/>
              <w:adjustRightInd/>
              <w:snapToGrid/>
              <w:spacing w:line="560" w:lineRule="exact"/>
              <w:ind w:left="0" w:leftChars="0" w:firstLine="0" w:firstLineChars="0"/>
              <w:jc w:val="both"/>
              <w:textAlignment w:val="auto"/>
              <w:rPr>
                <w:rFonts w:hint="default" w:ascii="仿宋_GB2312" w:hAnsi="仿宋_GB2312" w:eastAsia="仿宋_GB2312" w:cs="仿宋_GB2312"/>
                <w:b/>
                <w:bCs/>
                <w:sz w:val="28"/>
                <w:szCs w:val="28"/>
                <w:vertAlign w:val="baseline"/>
                <w:lang w:val="en-US" w:eastAsia="zh-CN"/>
              </w:rPr>
            </w:pPr>
            <w:r>
              <w:rPr>
                <w:rFonts w:hint="eastAsia" w:ascii="SimSun" w:hAnsi="SimSun" w:eastAsia="宋体" w:cs="仿宋_GB2312"/>
                <w:b/>
                <w:bCs/>
                <w:sz w:val="28"/>
                <w:szCs w:val="28"/>
                <w:vertAlign w:val="baseline"/>
                <w:lang w:val="en-US" w:eastAsia="zh-CN"/>
              </w:rPr>
              <w:t>二、申报案例相关信息</w:t>
            </w:r>
          </w:p>
        </w:tc>
      </w:tr>
      <w:tr w14:paraId="12F2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dxa"/>
          </w:tcPr>
          <w:p w14:paraId="3B61FE54">
            <w:pPr>
              <w:keepNext w:val="0"/>
              <w:keepLines w:val="0"/>
              <w:pageBreakBefore w:val="0"/>
              <w:widowControl w:val="0"/>
              <w:kinsoku/>
              <w:wordWrap/>
              <w:overflowPunct/>
              <w:topLinePunct w:val="0"/>
              <w:autoSpaceDE/>
              <w:autoSpaceDN/>
              <w:bidi w:val="0"/>
              <w:adjustRightInd/>
              <w:snapToGrid/>
              <w:spacing w:line="840" w:lineRule="auto"/>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案例类别</w:t>
            </w:r>
          </w:p>
        </w:tc>
        <w:tc>
          <w:tcPr>
            <w:tcW w:w="6317" w:type="dxa"/>
            <w:gridSpan w:val="3"/>
            <w:vAlign w:val="center"/>
          </w:tcPr>
          <w:p w14:paraId="21241B8F">
            <w:pPr>
              <w:pageBreakBefore w:val="0"/>
              <w:widowControl w:val="0"/>
              <w:kinsoku/>
              <w:wordWrap/>
              <w:overflowPunct/>
              <w:topLinePunct w:val="0"/>
              <w:autoSpaceDE/>
              <w:autoSpaceDN/>
              <w:bidi w:val="0"/>
              <w:adjustRightInd/>
              <w:snapToGrid/>
              <w:spacing w:line="560" w:lineRule="exact"/>
              <w:ind w:left="0" w:leftChars="0" w:firstLine="0" w:firstLineChars="0"/>
              <w:jc w:val="left"/>
              <w:textAlignment w:val="auto"/>
              <w:rPr>
                <w:rFonts w:hint="eastAsia" w:ascii="仿宋_GB2312" w:hAnsi="仿宋_GB2312" w:eastAsia="仿宋_GB2312" w:cs="仿宋_GB2312"/>
                <w:sz w:val="28"/>
                <w:szCs w:val="28"/>
                <w:vertAlign w:val="baseline"/>
                <w:lang w:val="en-US" w:eastAsia="zh-CN"/>
              </w:rPr>
            </w:pPr>
            <w:r>
              <w:rPr>
                <w:rFonts w:ascii="SimSun" w:hAnsi="SimSun" w:eastAsia="宋体"/>
                <w:b w:val="0"/>
                <w:sz w:val="21"/>
              </w:rPr>
              <w:t>□2026全国企业数智化转型与赋能十佳案例</w:t>
            </w:r>
          </w:p>
          <w:p w14:paraId="2D1B18DA">
            <w:pPr>
              <w:pageBreakBefore w:val="0"/>
              <w:widowControl w:val="0"/>
              <w:kinsoku/>
              <w:wordWrap/>
              <w:overflowPunct/>
              <w:topLinePunct w:val="0"/>
              <w:autoSpaceDE/>
              <w:autoSpaceDN/>
              <w:bidi w:val="0"/>
              <w:adjustRightInd/>
              <w:snapToGrid/>
              <w:spacing w:line="560" w:lineRule="exact"/>
              <w:ind w:left="0" w:leftChars="0" w:firstLine="0" w:firstLineChars="0"/>
              <w:jc w:val="both"/>
              <w:textAlignment w:val="auto"/>
              <w:rPr>
                <w:rFonts w:hint="eastAsia" w:ascii="仿宋_GB2312" w:hAnsi="仿宋_GB2312" w:eastAsia="仿宋_GB2312" w:cs="仿宋_GB2312"/>
                <w:sz w:val="28"/>
                <w:szCs w:val="28"/>
                <w:vertAlign w:val="baseline"/>
                <w:lang w:val="en-US" w:eastAsia="zh-CN"/>
              </w:rPr>
            </w:pPr>
          </w:p>
          <w:p>
            <w:pPr>
              <w:jc w:val="left"/>
            </w:pPr>
            <w:r>
              <w:rPr>
                <w:rFonts w:ascii="SimSun" w:hAnsi="SimSun" w:eastAsia="宋体"/>
                <w:b w:val="0"/>
                <w:sz w:val="21"/>
              </w:rPr>
              <w:t>■2026全国企业数智化转型与赋能优秀案例</w:t>
            </w:r>
          </w:p>
        </w:tc>
      </w:tr>
      <w:tr w14:paraId="219F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dxa"/>
          </w:tcPr>
          <w:p w14:paraId="6A9EBEFE">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案例名称</w:t>
            </w:r>
          </w:p>
        </w:tc>
        <w:tc>
          <w:tcPr>
            <w:tcW w:w="6317" w:type="dxa"/>
            <w:gridSpan w:val="3"/>
            <w:vAlign w:val="center"/>
          </w:tcPr>
          <w:p w14:paraId="12600363">
            <w:pPr>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28"/>
                <w:szCs w:val="28"/>
                <w:vertAlign w:val="baseline"/>
                <w:lang w:val="en-US" w:eastAsia="zh-CN"/>
              </w:rPr>
            </w:pPr>
            <w:r>
              <w:rPr>
                <w:rFonts w:ascii="SimSun" w:hAnsi="SimSun" w:eastAsia="宋体"/>
                <w:b w:val="0"/>
                <w:sz w:val="21"/>
              </w:rPr>
              <w:t>证元芳：面向临床与医学科研的循证医学智能体</w:t>
            </w:r>
          </w:p>
        </w:tc>
      </w:tr>
      <w:tr w14:paraId="5B53E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dxa"/>
          </w:tcPr>
          <w:p w14:paraId="58CF6BB1">
            <w:pPr>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jc w:val="both"/>
              <w:textAlignment w:val="auto"/>
              <w:rPr>
                <w:rFonts w:hint="default"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主创人姓名及职务</w:t>
            </w:r>
          </w:p>
          <w:p w14:paraId="7985C6AD">
            <w:pPr>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（不超过3人）</w:t>
            </w:r>
          </w:p>
        </w:tc>
        <w:tc>
          <w:tcPr>
            <w:tcW w:w="6317" w:type="dxa"/>
            <w:gridSpan w:val="3"/>
            <w:vAlign w:val="center"/>
          </w:tcPr>
          <w:p w14:paraId="5160B3CB">
            <w:pPr>
              <w:pageBreakBefore w:val="0"/>
              <w:widowControl w:val="0"/>
              <w:kinsoku/>
              <w:wordWrap/>
              <w:overflowPunct/>
              <w:topLinePunct w:val="0"/>
              <w:autoSpaceDE/>
              <w:autoSpaceDN/>
              <w:bidi w:val="0"/>
              <w:adjustRightInd/>
              <w:snapToGrid/>
              <w:spacing w:line="560" w:lineRule="exact"/>
              <w:ind w:left="0" w:leftChars="0" w:firstLine="0" w:firstLineChars="0"/>
              <w:jc w:val="left"/>
              <w:textAlignment w:val="auto"/>
              <w:rPr>
                <w:rFonts w:hint="default" w:ascii="仿宋_GB2312" w:hAnsi="仿宋_GB2312" w:eastAsia="仿宋_GB2312" w:cs="仿宋_GB2312"/>
                <w:sz w:val="28"/>
                <w:szCs w:val="28"/>
                <w:vertAlign w:val="baseline"/>
                <w:lang w:val="en-US" w:eastAsia="zh-CN"/>
              </w:rPr>
            </w:pPr>
            <w:r>
              <w:rPr>
                <w:rFonts w:ascii="SimSun" w:hAnsi="SimSun" w:eastAsia="宋体"/>
                <w:b w:val="0"/>
                <w:sz w:val="21"/>
              </w:rPr>
              <w:t>待补充：不超过3人，建议填写产品负责人、技术负责人、医学负责人</w:t>
            </w:r>
          </w:p>
        </w:tc>
      </w:tr>
      <w:tr w14:paraId="19FAF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dxa"/>
          </w:tcPr>
          <w:p w14:paraId="03D5224C">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default"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参创人姓名及职务</w:t>
            </w:r>
          </w:p>
          <w:p w14:paraId="1CB7F21C">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（不超过10人）</w:t>
            </w:r>
          </w:p>
        </w:tc>
        <w:tc>
          <w:tcPr>
            <w:tcW w:w="6317" w:type="dxa"/>
            <w:gridSpan w:val="3"/>
            <w:vAlign w:val="center"/>
          </w:tcPr>
          <w:p w14:paraId="01EC8F2D">
            <w:pPr>
              <w:pageBreakBefore w:val="0"/>
              <w:widowControl w:val="0"/>
              <w:kinsoku/>
              <w:wordWrap/>
              <w:overflowPunct/>
              <w:topLinePunct w:val="0"/>
              <w:autoSpaceDE/>
              <w:autoSpaceDN/>
              <w:bidi w:val="0"/>
              <w:adjustRightInd/>
              <w:snapToGrid/>
              <w:spacing w:line="560" w:lineRule="exact"/>
              <w:ind w:left="0" w:leftChars="0" w:firstLine="0" w:firstLineChars="0"/>
              <w:jc w:val="left"/>
              <w:textAlignment w:val="auto"/>
              <w:rPr>
                <w:rFonts w:hint="eastAsia" w:ascii="仿宋_GB2312" w:hAnsi="仿宋_GB2312" w:eastAsia="仿宋_GB2312" w:cs="仿宋_GB2312"/>
                <w:sz w:val="28"/>
                <w:szCs w:val="28"/>
                <w:vertAlign w:val="baseline"/>
                <w:lang w:val="en-US" w:eastAsia="zh-CN"/>
              </w:rPr>
            </w:pPr>
            <w:r>
              <w:rPr>
                <w:rFonts w:ascii="SimSun" w:hAnsi="SimSun" w:eastAsia="宋体"/>
                <w:b w:val="0"/>
                <w:sz w:val="21"/>
              </w:rPr>
              <w:t>待补充：不超过10人，建议覆盖产品、算法、医学、数据、合规、市场等角色</w:t>
            </w:r>
          </w:p>
        </w:tc>
      </w:tr>
      <w:tr w14:paraId="48B9F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7" w:hRule="atLeast"/>
        </w:trPr>
        <w:tc>
          <w:tcPr>
            <w:tcW w:w="2483" w:type="dxa"/>
          </w:tcPr>
          <w:p w14:paraId="78E048D3">
            <w:pPr>
              <w:keepNext w:val="0"/>
              <w:keepLines w:val="0"/>
              <w:pageBreakBefore w:val="0"/>
              <w:widowControl w:val="0"/>
              <w:kinsoku/>
              <w:wordWrap/>
              <w:overflowPunct/>
              <w:topLinePunct w:val="0"/>
              <w:autoSpaceDE/>
              <w:autoSpaceDN/>
              <w:bidi w:val="0"/>
              <w:adjustRightInd/>
              <w:snapToGrid/>
              <w:spacing w:line="480" w:lineRule="auto"/>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p>
          <w:p w14:paraId="1C329D1B">
            <w:pPr>
              <w:keepNext w:val="0"/>
              <w:keepLines w:val="0"/>
              <w:pageBreakBefore w:val="0"/>
              <w:widowControl w:val="0"/>
              <w:kinsoku/>
              <w:wordWrap/>
              <w:overflowPunct/>
              <w:topLinePunct w:val="0"/>
              <w:autoSpaceDE/>
              <w:autoSpaceDN/>
              <w:bidi w:val="0"/>
              <w:adjustRightInd/>
              <w:snapToGrid/>
              <w:spacing w:line="720" w:lineRule="auto"/>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p>
          <w:p w14:paraId="6BA0A681">
            <w:pPr>
              <w:keepNext w:val="0"/>
              <w:keepLines w:val="0"/>
              <w:pageBreakBefore w:val="0"/>
              <w:widowControl w:val="0"/>
              <w:kinsoku/>
              <w:wordWrap/>
              <w:overflowPunct/>
              <w:topLinePunct w:val="0"/>
              <w:autoSpaceDE/>
              <w:autoSpaceDN/>
              <w:bidi w:val="0"/>
              <w:adjustRightInd/>
              <w:snapToGrid/>
              <w:spacing w:line="720" w:lineRule="auto"/>
              <w:ind w:left="0" w:leftChars="0" w:firstLine="0" w:firstLineChars="0"/>
              <w:jc w:val="center"/>
              <w:textAlignment w:val="auto"/>
              <w:rPr>
                <w:rFonts w:hint="default"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企业简介</w:t>
            </w:r>
          </w:p>
        </w:tc>
        <w:tc>
          <w:tcPr>
            <w:tcW w:w="6317" w:type="dxa"/>
            <w:gridSpan w:val="3"/>
            <w:vAlign w:val="center"/>
          </w:tcPr>
          <w:p w14:paraId="259D6716">
            <w:pPr>
              <w:pageBreakBefore w:val="0"/>
              <w:widowControl w:val="0"/>
              <w:kinsoku/>
              <w:wordWrap/>
              <w:overflowPunct/>
              <w:topLinePunct w:val="0"/>
              <w:autoSpaceDE/>
              <w:autoSpaceDN/>
              <w:bidi w:val="0"/>
              <w:adjustRightInd/>
              <w:snapToGrid/>
              <w:spacing w:line="560" w:lineRule="exact"/>
              <w:ind w:left="0" w:leftChars="0" w:firstLine="0" w:firstLineChars="0"/>
              <w:jc w:val="left"/>
              <w:textAlignment w:val="auto"/>
              <w:rPr>
                <w:rFonts w:hint="default" w:ascii="仿宋_GB2312" w:hAnsi="仿宋_GB2312" w:eastAsia="仿宋_GB2312" w:cs="仿宋_GB2312"/>
                <w:sz w:val="28"/>
                <w:szCs w:val="28"/>
                <w:vertAlign w:val="baseline"/>
                <w:lang w:val="en-US" w:eastAsia="zh-CN"/>
              </w:rPr>
            </w:pPr>
            <w:r>
              <w:rPr>
                <w:rFonts w:ascii="SimSun" w:hAnsi="SimSun" w:eastAsia="宋体"/>
                <w:b w:val="0"/>
                <w:sz w:val="20"/>
              </w:rPr>
              <w:t>北京轻松怡康信息技术有限公司是轻松健康集团相关业务主体之一，围绕“健康+人工智能”双引擎战略，依托AIcare技术栈，推进健康服务、保险技术、医学研究辅助等场景的数智化应用。</w:t>
            </w:r>
          </w:p>
        </w:tc>
      </w:tr>
      <w:tr w14:paraId="2D2EB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2" w:hRule="atLeast"/>
        </w:trPr>
        <w:tc>
          <w:tcPr>
            <w:tcW w:w="2483" w:type="dxa"/>
          </w:tcPr>
          <w:p w14:paraId="0C311451">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p>
          <w:p w14:paraId="1CFF3BAB">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p>
          <w:p w14:paraId="61EFFE7B">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p>
          <w:p w14:paraId="4D436A1A">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default"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案例概述</w:t>
            </w:r>
          </w:p>
        </w:tc>
        <w:tc>
          <w:tcPr>
            <w:tcW w:w="6317" w:type="dxa"/>
            <w:gridSpan w:val="3"/>
            <w:vAlign w:val="center"/>
          </w:tcPr>
          <w:p w14:paraId="16E71481">
            <w:pPr>
              <w:pageBreakBefore w:val="0"/>
              <w:widowControl w:val="0"/>
              <w:kinsoku/>
              <w:wordWrap/>
              <w:overflowPunct/>
              <w:topLinePunct w:val="0"/>
              <w:autoSpaceDE/>
              <w:autoSpaceDN/>
              <w:bidi w:val="0"/>
              <w:adjustRightInd/>
              <w:snapToGrid/>
              <w:spacing w:line="560" w:lineRule="exact"/>
              <w:ind w:left="0" w:leftChars="0" w:firstLine="0" w:firstLineChars="0"/>
              <w:jc w:val="left"/>
              <w:textAlignment w:val="auto"/>
              <w:rPr>
                <w:rFonts w:hint="eastAsia" w:ascii="仿宋_GB2312" w:hAnsi="仿宋_GB2312" w:eastAsia="仿宋_GB2312" w:cs="仿宋_GB2312"/>
                <w:sz w:val="28"/>
                <w:szCs w:val="28"/>
                <w:vertAlign w:val="baseline"/>
                <w:lang w:val="en-US" w:eastAsia="zh-CN"/>
              </w:rPr>
            </w:pPr>
            <w:r>
              <w:rPr>
                <w:rFonts w:ascii="SimSun" w:hAnsi="SimSun" w:eastAsia="宋体"/>
                <w:b w:val="0"/>
                <w:sz w:val="19"/>
              </w:rPr>
              <w:t>“证元芳”是面向医生、医学生及医学研究场景的循证医学智能体，以“问即有据”为核心。针对医学文献、指南、药品信息和病例知识分散，医生查证成本高，通用大模型依据不可追溯、难以进入严肃医疗工作流等痛点，产品以轻松问医Dr.GPT为底座，融合5000万+实体级别全球医学知识图谱，结合MedClaw多智能体协作和Agent DeepResearch，形成深度检索、权威性评估、准确性校验、引用验证的智能工作流，覆盖诊前查证、诊中决策参考、诊后患者解释，以及论文写作、临床研究方案、考试备考、医学图像、科普内容等场景。MedClaw Skills Store已上线2000+标准化Skill。2026年5月12日，证元芳通过中国信通院/泰尔实验室“医疗健康智能助手（MedClaw）能力测评”，13项功能用例全部通过，并已纳入北京市卫健委医疗AI应用评测体系（进行中），体现了医疗健康服务以专业大模型、知识图谱、智能体和合规测评驱动数智化转型的可复制路径。</w:t>
            </w:r>
          </w:p>
          <w:p w14:paraId="3D5DBD68">
            <w:pPr>
              <w:pageBreakBefore w:val="0"/>
              <w:widowControl w:val="0"/>
              <w:kinsoku/>
              <w:wordWrap/>
              <w:overflowPunct/>
              <w:topLinePunct w:val="0"/>
              <w:autoSpaceDE/>
              <w:autoSpaceDN/>
              <w:bidi w:val="0"/>
              <w:adjustRightInd/>
              <w:snapToGrid/>
              <w:spacing w:line="560" w:lineRule="exact"/>
              <w:ind w:left="0" w:leftChars="0" w:firstLine="0" w:firstLineChars="0"/>
              <w:jc w:val="both"/>
              <w:textAlignment w:val="auto"/>
              <w:rPr>
                <w:rFonts w:hint="eastAsia" w:ascii="仿宋_GB2312" w:hAnsi="仿宋_GB2312" w:eastAsia="仿宋_GB2312" w:cs="仿宋_GB2312"/>
                <w:sz w:val="28"/>
                <w:szCs w:val="28"/>
                <w:vertAlign w:val="baseline"/>
                <w:lang w:val="en-US" w:eastAsia="zh-CN"/>
              </w:rPr>
            </w:pPr>
          </w:p>
          <w:p w14:paraId="762A63F8">
            <w:pPr>
              <w:pageBreakBefore w:val="0"/>
              <w:widowControl w:val="0"/>
              <w:kinsoku/>
              <w:wordWrap/>
              <w:overflowPunct/>
              <w:topLinePunct w:val="0"/>
              <w:autoSpaceDE/>
              <w:autoSpaceDN/>
              <w:bidi w:val="0"/>
              <w:adjustRightInd/>
              <w:snapToGrid/>
              <w:spacing w:line="560" w:lineRule="exact"/>
              <w:ind w:left="0" w:leftChars="0" w:firstLine="0" w:firstLineChars="0"/>
              <w:jc w:val="both"/>
              <w:textAlignment w:val="auto"/>
              <w:rPr>
                <w:rFonts w:hint="eastAsia" w:ascii="仿宋_GB2312" w:hAnsi="仿宋_GB2312" w:eastAsia="仿宋_GB2312" w:cs="仿宋_GB2312"/>
                <w:sz w:val="28"/>
                <w:szCs w:val="28"/>
                <w:vertAlign w:val="baseline"/>
                <w:lang w:val="en-US" w:eastAsia="zh-CN"/>
              </w:rPr>
            </w:pPr>
          </w:p>
          <w:p w14:paraId="747C31CB">
            <w:pPr>
              <w:pageBreakBefore w:val="0"/>
              <w:widowControl w:val="0"/>
              <w:kinsoku/>
              <w:wordWrap/>
              <w:overflowPunct/>
              <w:topLinePunct w:val="0"/>
              <w:autoSpaceDE/>
              <w:autoSpaceDN/>
              <w:bidi w:val="0"/>
              <w:adjustRightInd/>
              <w:snapToGrid/>
              <w:spacing w:line="560" w:lineRule="exact"/>
              <w:ind w:left="0" w:leftChars="0" w:firstLine="0" w:firstLineChars="0"/>
              <w:jc w:val="both"/>
              <w:textAlignment w:val="auto"/>
              <w:rPr>
                <w:rFonts w:hint="eastAsia" w:ascii="仿宋_GB2312" w:hAnsi="仿宋_GB2312" w:eastAsia="仿宋_GB2312" w:cs="仿宋_GB2312"/>
                <w:sz w:val="28"/>
                <w:szCs w:val="28"/>
                <w:vertAlign w:val="baseline"/>
                <w:lang w:val="en-US" w:eastAsia="zh-CN"/>
              </w:rPr>
            </w:pPr>
          </w:p>
          <w:p w14:paraId="03A63348">
            <w:pPr>
              <w:pageBreakBefore w:val="0"/>
              <w:widowControl w:val="0"/>
              <w:kinsoku/>
              <w:wordWrap/>
              <w:overflowPunct/>
              <w:topLinePunct w:val="0"/>
              <w:autoSpaceDE/>
              <w:autoSpaceDN/>
              <w:bidi w:val="0"/>
              <w:adjustRightInd/>
              <w:snapToGrid/>
              <w:spacing w:line="560" w:lineRule="exact"/>
              <w:ind w:left="0" w:leftChars="0" w:firstLine="0" w:firstLineChars="0"/>
              <w:jc w:val="right"/>
              <w:textAlignment w:val="auto"/>
              <w:rPr>
                <w:rFonts w:hint="default" w:ascii="仿宋_GB2312" w:hAnsi="仿宋_GB2312" w:eastAsia="仿宋_GB2312" w:cs="仿宋_GB2312"/>
                <w:sz w:val="28"/>
                <w:szCs w:val="28"/>
                <w:vertAlign w:val="baseline"/>
                <w:lang w:val="en-US" w:eastAsia="zh-CN"/>
              </w:rPr>
            </w:pPr>
          </w:p>
          <w:p>
            <w:pPr>
              <w:jc w:val="left"/>
            </w:pPr>
            <w:r>
              <w:rPr>
                <w:rFonts w:ascii="SimSun" w:hAnsi="SimSun" w:eastAsia="宋体"/>
                <w:b w:val="0"/>
                <w:sz w:val="19"/>
              </w:rPr>
            </w:r>
          </w:p>
          <w:p>
            <w:pPr>
              <w:jc w:val="left"/>
            </w:pPr>
            <w:r>
              <w:rPr>
                <w:rFonts w:ascii="SimSun" w:hAnsi="SimSun" w:eastAsia="宋体"/>
                <w:b w:val="0"/>
                <w:sz w:val="19"/>
              </w:rPr>
              <w:t>（详见附件一）</w:t>
            </w:r>
          </w:p>
        </w:tc>
      </w:tr>
      <w:tr w14:paraId="4BF7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7" w:hRule="atLeast"/>
        </w:trPr>
        <w:tc>
          <w:tcPr>
            <w:tcW w:w="2483" w:type="dxa"/>
          </w:tcPr>
          <w:p w14:paraId="2924A94B">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p>
          <w:p w14:paraId="4CCC0624">
            <w:pPr>
              <w:pageBreakBefore w:val="0"/>
              <w:widowControl w:val="0"/>
              <w:kinsoku/>
              <w:wordWrap/>
              <w:overflowPunct/>
              <w:topLinePunct w:val="0"/>
              <w:autoSpaceDE/>
              <w:autoSpaceDN/>
              <w:bidi w:val="0"/>
              <w:adjustRightInd/>
              <w:snapToGrid/>
              <w:spacing w:line="560" w:lineRule="exact"/>
              <w:ind w:left="0" w:leftChars="0" w:firstLine="0" w:firstLineChars="0"/>
              <w:jc w:val="both"/>
              <w:textAlignment w:val="auto"/>
              <w:rPr>
                <w:rFonts w:hint="eastAsia" w:ascii="仿宋_GB2312" w:hAnsi="仿宋_GB2312" w:eastAsia="仿宋_GB2312" w:cs="仿宋_GB2312"/>
                <w:sz w:val="28"/>
                <w:szCs w:val="28"/>
                <w:vertAlign w:val="baseline"/>
                <w:lang w:val="en-US" w:eastAsia="zh-CN"/>
              </w:rPr>
            </w:pPr>
          </w:p>
          <w:p w14:paraId="6882E79D">
            <w:pPr>
              <w:pageBreakBefore w:val="0"/>
              <w:widowControl w:val="0"/>
              <w:kinsoku/>
              <w:wordWrap/>
              <w:overflowPunct/>
              <w:topLinePunct w:val="0"/>
              <w:autoSpaceDE/>
              <w:autoSpaceDN/>
              <w:bidi w:val="0"/>
              <w:adjustRightInd/>
              <w:snapToGrid/>
              <w:spacing w:line="560" w:lineRule="exact"/>
              <w:ind w:left="0" w:leftChars="0" w:firstLine="0" w:firstLineChars="0"/>
              <w:jc w:val="both"/>
              <w:textAlignment w:val="auto"/>
              <w:rPr>
                <w:rFonts w:hint="eastAsia" w:ascii="仿宋_GB2312" w:hAnsi="仿宋_GB2312" w:eastAsia="仿宋_GB2312" w:cs="仿宋_GB2312"/>
                <w:sz w:val="28"/>
                <w:szCs w:val="28"/>
                <w:vertAlign w:val="baseline"/>
                <w:lang w:val="en-US" w:eastAsia="zh-CN"/>
              </w:rPr>
            </w:pPr>
          </w:p>
          <w:p w14:paraId="55AF9233">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default"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案例详情</w:t>
            </w:r>
          </w:p>
        </w:tc>
        <w:tc>
          <w:tcPr>
            <w:tcW w:w="6317" w:type="dxa"/>
            <w:gridSpan w:val="3"/>
            <w:vAlign w:val="center"/>
          </w:tcPr>
          <w:p w14:paraId="12E1334A">
            <w:pPr>
              <w:pageBreakBefore w:val="0"/>
              <w:widowControl w:val="0"/>
              <w:kinsoku/>
              <w:wordWrap/>
              <w:overflowPunct/>
              <w:topLinePunct w:val="0"/>
              <w:autoSpaceDE/>
              <w:autoSpaceDN/>
              <w:bidi w:val="0"/>
              <w:adjustRightInd/>
              <w:snapToGrid/>
              <w:spacing w:line="560" w:lineRule="exact"/>
              <w:ind w:left="0" w:leftChars="0" w:firstLine="0" w:firstLineChars="0"/>
              <w:jc w:val="left"/>
              <w:textAlignment w:val="auto"/>
              <w:rPr>
                <w:rFonts w:hint="eastAsia" w:ascii="仿宋_GB2312" w:hAnsi="仿宋_GB2312" w:eastAsia="仿宋_GB2312" w:cs="仿宋_GB2312"/>
                <w:sz w:val="28"/>
                <w:szCs w:val="28"/>
                <w:vertAlign w:val="baseline"/>
                <w:lang w:val="en-US" w:eastAsia="zh-CN"/>
              </w:rPr>
            </w:pPr>
            <w:r>
              <w:rPr>
                <w:rFonts w:ascii="SimSun" w:hAnsi="SimSun" w:eastAsia="宋体"/>
                <w:b w:val="0"/>
                <w:sz w:val="20"/>
              </w:rPr>
              <w:t>详见附件一《证元芳：面向临床与医学科研的循证医学智能体案例详情》。附件围绕技术路径、实施模式、应用场景、实践成效、创新性、示范性与可推广性展开，并列明材料来源与待补充证明材料。</w:t>
            </w:r>
          </w:p>
          <w:p w14:paraId="3F23D5A3">
            <w:pPr>
              <w:pageBreakBefore w:val="0"/>
              <w:widowControl w:val="0"/>
              <w:kinsoku/>
              <w:wordWrap/>
              <w:overflowPunct/>
              <w:topLinePunct w:val="0"/>
              <w:autoSpaceDE/>
              <w:autoSpaceDN/>
              <w:bidi w:val="0"/>
              <w:adjustRightInd/>
              <w:snapToGrid/>
              <w:spacing w:line="560" w:lineRule="exact"/>
              <w:ind w:left="0" w:leftChars="0" w:firstLine="0" w:firstLineChars="0"/>
              <w:jc w:val="both"/>
              <w:textAlignment w:val="auto"/>
              <w:rPr>
                <w:rFonts w:hint="eastAsia" w:ascii="仿宋_GB2312" w:hAnsi="仿宋_GB2312" w:eastAsia="仿宋_GB2312" w:cs="仿宋_GB2312"/>
                <w:sz w:val="28"/>
                <w:szCs w:val="28"/>
                <w:vertAlign w:val="baseline"/>
                <w:lang w:val="en-US" w:eastAsia="zh-CN"/>
              </w:rPr>
            </w:pPr>
          </w:p>
          <w:p w14:paraId="6DC3BF05">
            <w:pPr>
              <w:pageBreakBefore w:val="0"/>
              <w:widowControl w:val="0"/>
              <w:kinsoku/>
              <w:wordWrap/>
              <w:overflowPunct/>
              <w:topLinePunct w:val="0"/>
              <w:autoSpaceDE/>
              <w:autoSpaceDN/>
              <w:bidi w:val="0"/>
              <w:adjustRightInd/>
              <w:snapToGrid/>
              <w:spacing w:line="560" w:lineRule="exact"/>
              <w:ind w:left="0" w:leftChars="0" w:firstLine="0" w:firstLineChars="0"/>
              <w:jc w:val="both"/>
              <w:textAlignment w:val="auto"/>
              <w:rPr>
                <w:rFonts w:hint="eastAsia" w:ascii="仿宋_GB2312" w:hAnsi="仿宋_GB2312" w:eastAsia="仿宋_GB2312" w:cs="仿宋_GB2312"/>
                <w:sz w:val="28"/>
                <w:szCs w:val="28"/>
                <w:vertAlign w:val="baseline"/>
                <w:lang w:val="en-US" w:eastAsia="zh-CN"/>
              </w:rPr>
            </w:pPr>
          </w:p>
          <w:p w14:paraId="19526D26">
            <w:pPr>
              <w:pageBreakBefore w:val="0"/>
              <w:widowControl w:val="0"/>
              <w:kinsoku/>
              <w:wordWrap/>
              <w:overflowPunct/>
              <w:topLinePunct w:val="0"/>
              <w:autoSpaceDE/>
              <w:autoSpaceDN/>
              <w:bidi w:val="0"/>
              <w:adjustRightInd/>
              <w:snapToGrid/>
              <w:spacing w:line="560" w:lineRule="exact"/>
              <w:ind w:left="0" w:leftChars="0" w:firstLine="0" w:firstLineChars="0"/>
              <w:jc w:val="both"/>
              <w:textAlignment w:val="auto"/>
              <w:rPr>
                <w:rFonts w:hint="eastAsia" w:ascii="仿宋_GB2312" w:hAnsi="仿宋_GB2312" w:eastAsia="仿宋_GB2312" w:cs="仿宋_GB2312"/>
                <w:sz w:val="28"/>
                <w:szCs w:val="28"/>
                <w:vertAlign w:val="baseline"/>
                <w:lang w:val="en-US" w:eastAsia="zh-CN"/>
              </w:rPr>
            </w:pPr>
          </w:p>
          <w:p w14:paraId="378F7CFF">
            <w:pPr>
              <w:pageBreakBefore w:val="0"/>
              <w:widowControl w:val="0"/>
              <w:kinsoku/>
              <w:wordWrap/>
              <w:overflowPunct/>
              <w:topLinePunct w:val="0"/>
              <w:autoSpaceDE/>
              <w:autoSpaceDN/>
              <w:bidi w:val="0"/>
              <w:adjustRightInd/>
              <w:snapToGrid/>
              <w:spacing w:line="560" w:lineRule="exact"/>
              <w:ind w:left="0" w:leftChars="0" w:firstLine="0" w:firstLineChars="0"/>
              <w:jc w:val="right"/>
              <w:textAlignment w:val="auto"/>
              <w:rPr>
                <w:rFonts w:hint="eastAsia" w:ascii="仿宋_GB2312" w:hAnsi="仿宋_GB2312" w:eastAsia="仿宋_GB2312" w:cs="仿宋_GB2312"/>
                <w:sz w:val="28"/>
                <w:szCs w:val="28"/>
                <w:vertAlign w:val="baseline"/>
                <w:lang w:val="en-US" w:eastAsia="zh-CN"/>
              </w:rPr>
            </w:pPr>
          </w:p>
        </w:tc>
      </w:tr>
      <w:tr w14:paraId="62846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0" w:hRule="atLeast"/>
        </w:trPr>
        <w:tc>
          <w:tcPr>
            <w:tcW w:w="2483" w:type="dxa"/>
          </w:tcPr>
          <w:p w14:paraId="7C90295C">
            <w:pPr>
              <w:keepNext w:val="0"/>
              <w:keepLines w:val="0"/>
              <w:pageBreakBefore w:val="0"/>
              <w:widowControl w:val="0"/>
              <w:kinsoku/>
              <w:wordWrap/>
              <w:overflowPunct/>
              <w:topLinePunct w:val="0"/>
              <w:autoSpaceDE/>
              <w:autoSpaceDN/>
              <w:bidi w:val="0"/>
              <w:adjustRightInd/>
              <w:snapToGrid/>
              <w:spacing w:line="840" w:lineRule="auto"/>
              <w:ind w:left="0" w:leftChars="0" w:firstLine="0" w:firstLineChars="0"/>
              <w:jc w:val="center"/>
              <w:textAlignment w:val="auto"/>
              <w:rPr>
                <w:rFonts w:hint="eastAsia"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相关展示材料</w:t>
            </w:r>
          </w:p>
        </w:tc>
        <w:tc>
          <w:tcPr>
            <w:tcW w:w="6317" w:type="dxa"/>
            <w:gridSpan w:val="3"/>
            <w:vAlign w:val="center"/>
          </w:tcPr>
          <w:p w14:paraId="01A979F2">
            <w:pPr>
              <w:pageBreakBefore w:val="0"/>
              <w:widowControl w:val="0"/>
              <w:kinsoku/>
              <w:wordWrap/>
              <w:overflowPunct/>
              <w:topLinePunct w:val="0"/>
              <w:autoSpaceDE/>
              <w:autoSpaceDN/>
              <w:bidi w:val="0"/>
              <w:adjustRightInd/>
              <w:snapToGrid/>
              <w:spacing w:line="560" w:lineRule="exact"/>
              <w:ind w:left="0" w:leftChars="0" w:firstLine="0" w:firstLineChars="0"/>
              <w:jc w:val="left"/>
              <w:textAlignment w:val="auto"/>
              <w:rPr>
                <w:rFonts w:hint="eastAsia" w:ascii="仿宋_GB2312" w:hAnsi="仿宋_GB2312" w:eastAsia="仿宋_GB2312" w:cs="仿宋_GB2312"/>
                <w:sz w:val="28"/>
                <w:szCs w:val="28"/>
                <w:vertAlign w:val="baseline"/>
                <w:lang w:val="en-US" w:eastAsia="zh-CN"/>
              </w:rPr>
            </w:pPr>
            <w:r>
              <w:rPr>
                <w:rFonts w:ascii="SimSun" w:hAnsi="SimSun" w:eastAsia="宋体"/>
                <w:b w:val="0"/>
                <w:sz w:val="20"/>
              </w:rPr>
              <w:t>已整理产品介绍PPT中的产品首页、功能矩阵、DeepResearch流程、医学知识底座、测评/荣誉展示等JPG材料，详见“相关展示材料_JPG”文件夹；企业LOGO、主体建筑照片、盖章扫描件及正式联系人信息仍需申报单位补充。</w:t>
            </w:r>
          </w:p>
        </w:tc>
      </w:tr>
      <w:tr w14:paraId="37EEC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0" w:type="dxa"/>
            <w:gridSpan w:val="4"/>
          </w:tcPr>
          <w:p w14:paraId="78E2277F">
            <w:pPr>
              <w:pageBreakBefore w:val="0"/>
              <w:widowControl w:val="0"/>
              <w:kinsoku/>
              <w:wordWrap/>
              <w:overflowPunct/>
              <w:topLinePunct w:val="0"/>
              <w:autoSpaceDE/>
              <w:autoSpaceDN/>
              <w:bidi w:val="0"/>
              <w:adjustRightInd/>
              <w:snapToGrid/>
              <w:spacing w:line="560" w:lineRule="exact"/>
              <w:ind w:left="0" w:leftChars="0" w:firstLine="0" w:firstLineChars="0"/>
              <w:jc w:val="left"/>
              <w:textAlignment w:val="auto"/>
              <w:rPr>
                <w:rFonts w:hint="default" w:ascii="仿宋_GB2312" w:hAnsi="仿宋_GB2312" w:eastAsia="仿宋_GB2312" w:cs="仿宋_GB2312"/>
                <w:b/>
                <w:bCs/>
                <w:sz w:val="28"/>
                <w:szCs w:val="28"/>
                <w:vertAlign w:val="baseline"/>
                <w:lang w:val="en-US" w:eastAsia="zh-CN"/>
              </w:rPr>
            </w:pPr>
            <w:r>
              <w:rPr>
                <w:rFonts w:hint="eastAsia" w:ascii="SimSun" w:hAnsi="SimSun" w:eastAsia="宋体" w:cs="仿宋_GB2312"/>
                <w:b/>
                <w:bCs/>
                <w:sz w:val="28"/>
                <w:szCs w:val="28"/>
                <w:vertAlign w:val="baseline"/>
                <w:lang w:val="en-US" w:eastAsia="zh-CN"/>
              </w:rPr>
              <w:t>三、原创声明</w:t>
            </w:r>
          </w:p>
        </w:tc>
      </w:tr>
      <w:tr w14:paraId="75A1F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7" w:hRule="atLeast"/>
        </w:trPr>
        <w:tc>
          <w:tcPr>
            <w:tcW w:w="8800" w:type="dxa"/>
            <w:gridSpan w:val="4"/>
          </w:tcPr>
          <w:p w14:paraId="262EFE39">
            <w:pPr>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28"/>
                <w:szCs w:val="28"/>
                <w:vertAlign w:val="baseline"/>
                <w:lang w:val="en-US" w:eastAsia="zh-CN"/>
              </w:rPr>
            </w:pPr>
            <w:r>
              <w:rPr>
                <w:rFonts w:hint="eastAsia" w:ascii="SimSun" w:hAnsi="SimSun" w:eastAsia="宋体" w:cs="仿宋_GB2312"/>
                <w:sz w:val="28"/>
                <w:szCs w:val="28"/>
                <w:vertAlign w:val="baseline"/>
                <w:lang w:val="en-US" w:eastAsia="zh-CN"/>
              </w:rPr>
              <w:t>本案例由我单位原创编生内容真实、准确、有效。我单位同意将该案例用于本次征集活动相关的评审、公示、入库、对外宣传及推广等工作，并对所提交材料的真实性、合法性承担相应责任。</w:t>
            </w:r>
          </w:p>
          <w:p w14:paraId="44B7332A">
            <w:pPr>
              <w:pageBreakBefore w:val="0"/>
              <w:widowControl w:val="0"/>
              <w:kinsoku/>
              <w:wordWrap/>
              <w:overflowPunct/>
              <w:topLinePunct w:val="0"/>
              <w:autoSpaceDE/>
              <w:autoSpaceDN/>
              <w:bidi w:val="0"/>
              <w:adjustRightInd/>
              <w:snapToGrid/>
              <w:spacing w:line="560" w:lineRule="exact"/>
              <w:ind w:left="0" w:leftChars="0" w:firstLine="0" w:firstLineChars="0"/>
              <w:jc w:val="left"/>
              <w:textAlignment w:val="auto"/>
              <w:rPr>
                <w:rFonts w:hint="eastAsia" w:ascii="仿宋_GB2312" w:hAnsi="仿宋_GB2312" w:eastAsia="仿宋_GB2312" w:cs="仿宋_GB2312"/>
                <w:sz w:val="28"/>
                <w:szCs w:val="28"/>
                <w:vertAlign w:val="baseline"/>
                <w:lang w:val="en-US" w:eastAsia="zh-CN"/>
              </w:rPr>
            </w:pPr>
          </w:p>
          <w:p w14:paraId="76F3DE90">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sz w:val="28"/>
                <w:szCs w:val="28"/>
                <w:vertAlign w:val="baseline"/>
                <w:lang w:val="en-US" w:eastAsia="zh-CN"/>
              </w:rPr>
            </w:pPr>
            <w:r>
              <w:rPr>
                <w:rFonts w:hint="eastAsia" w:ascii="SimSun" w:hAnsi="SimSun" w:eastAsia="宋体" w:cs="仿宋_GB2312"/>
                <w:sz w:val="28"/>
                <w:szCs w:val="28"/>
                <w:vertAlign w:val="baseline"/>
                <w:lang w:val="en-US" w:eastAsia="zh-CN"/>
              </w:rPr>
              <w:t xml:space="preserve">                     申报人签字：                           </w:t>
            </w:r>
            <w:r>
              <w:rPr>
                <w:rFonts w:hint="eastAsia" w:ascii="SimSun" w:hAnsi="SimSun" w:eastAsia="宋体"/>
                <w:sz w:val="28"/>
                <w:szCs w:val="28"/>
                <w:vertAlign w:val="baseline"/>
                <w:lang w:val="en-US" w:eastAsia="zh-CN"/>
              </w:rPr>
              <w:t xml:space="preserve"> </w:t>
            </w:r>
          </w:p>
          <w:p w14:paraId="2F5DFCFF">
            <w:pPr>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sz w:val="28"/>
                <w:szCs w:val="28"/>
                <w:vertAlign w:val="baseline"/>
                <w:lang w:val="en-US" w:eastAsia="zh-CN"/>
              </w:rPr>
            </w:pPr>
            <w:r>
              <w:rPr>
                <w:rFonts w:hint="eastAsia" w:ascii="SimSun" w:hAnsi="SimSun" w:eastAsia="宋体"/>
                <w:sz w:val="28"/>
                <w:szCs w:val="28"/>
                <w:vertAlign w:val="baseline"/>
                <w:lang w:val="en-US" w:eastAsia="zh-CN"/>
              </w:rPr>
              <w:t xml:space="preserve">                   单位盖章：</w:t>
            </w:r>
          </w:p>
          <w:p w14:paraId="30B6BFE4">
            <w:pPr>
              <w:pageBreakBefore w:val="0"/>
              <w:widowControl w:val="0"/>
              <w:kinsoku/>
              <w:wordWrap/>
              <w:overflowPunct/>
              <w:topLinePunct w:val="0"/>
              <w:autoSpaceDE/>
              <w:autoSpaceDN/>
              <w:bidi w:val="0"/>
              <w:adjustRightInd/>
              <w:snapToGrid/>
              <w:spacing w:line="560" w:lineRule="exact"/>
              <w:ind w:left="0" w:leftChars="0" w:firstLine="0" w:firstLineChars="0"/>
              <w:jc w:val="right"/>
              <w:textAlignment w:val="auto"/>
              <w:rPr>
                <w:rFonts w:hint="default" w:ascii="仿宋_GB2312" w:hAnsi="仿宋_GB2312" w:eastAsia="仿宋_GB2312" w:cs="仿宋_GB2312"/>
                <w:sz w:val="28"/>
                <w:szCs w:val="28"/>
                <w:vertAlign w:val="baseline"/>
                <w:lang w:val="en-US" w:eastAsia="zh-CN"/>
              </w:rPr>
            </w:pPr>
            <w:r>
              <w:rPr>
                <w:rFonts w:hint="eastAsia" w:ascii="SimSun" w:hAnsi="SimSun" w:eastAsia="宋体"/>
                <w:sz w:val="28"/>
                <w:szCs w:val="28"/>
                <w:vertAlign w:val="baseline"/>
                <w:lang w:val="en-US" w:eastAsia="zh-CN"/>
              </w:rPr>
              <w:t xml:space="preserve">   2026 年  月  日</w:t>
            </w:r>
          </w:p>
        </w:tc>
      </w:tr>
    </w:tbl>
    <w:p w14:paraId="704EEE03">
      <w:pPr>
        <w:wordWrap/>
        <w:ind w:left="0" w:leftChars="0" w:firstLine="640" w:firstLineChars="200"/>
        <w:jc w:val="left"/>
        <w:rPr>
          <w:rFonts w:hint="default"/>
          <w:lang w:val="en-US" w:eastAsia="zh-CN"/>
        </w:rPr>
      </w:pP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B1"/>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747790E-7752-4E7D-AAB8-10FEEF81397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00EC3ADD-230B-4D50-A209-C6897AF4D701}"/>
  </w:font>
  <w:font w:name="FangSong_GB2312">
    <w:altName w:val="仿宋_GB2312"/>
    <w:panose1 w:val="02010609030101010101"/>
    <w:charset w:val="86"/>
    <w:family w:val="auto"/>
    <w:pitch w:val="default"/>
    <w:sig w:usb0="00000000" w:usb1="00000000" w:usb2="00000000" w:usb3="00000000" w:csb0="00040000" w:csb1="00000000"/>
    <w:embedRegular r:id="rId3" w:fontKey="{8EF80550-E4A6-4EEC-BBCD-EC1848335C65}"/>
  </w:font>
  <w:font w:name="仿宋_GB2312">
    <w:panose1 w:val="02010609030101010101"/>
    <w:charset w:val="86"/>
    <w:family w:val="auto"/>
    <w:pitch w:val="default"/>
    <w:sig w:usb0="00000001" w:usb1="080E0000" w:usb2="00000000" w:usb3="00000000" w:csb0="00040000" w:csb1="00000000"/>
    <w:embedRegular r:id="rId4" w:fontKey="{B7AF70E9-A031-4EA7-99F1-8A4FD7284B2E}"/>
  </w:font>
  <w:font w:name="方正小标宋简体">
    <w:panose1 w:val="02000000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embedRegular r:id="rId5" w:fontKey="{14FE6164-FCB5-42F3-AACE-AEFE3F70A820}"/>
  </w:font>
  <w:font w:name="仿宋">
    <w:panose1 w:val="02010609060101010101"/>
    <w:charset w:val="86"/>
    <w:family w:val="auto"/>
    <w:pitch w:val="default"/>
    <w:sig w:usb0="800002BF" w:usb1="38CF7CFA" w:usb2="00000016" w:usb3="00000000" w:csb0="00040001" w:csb1="00000000"/>
    <w:embedRegular r:id="rId6" w:fontKey="{EFA0C988-F9E9-4C48-9949-3A5E5147E275}"/>
  </w:font>
  <w:font w:name="方正小标宋_GBK">
    <w:panose1 w:val="02000000000000000000"/>
    <w:charset w:val="86"/>
    <w:family w:val="auto"/>
    <w:pitch w:val="default"/>
    <w:sig w:usb0="00000001" w:usb1="080E0000" w:usb2="00000000" w:usb3="00000000" w:csb0="00040000" w:csb1="00000000"/>
    <w:embedRegular r:id="rId7" w:fontKey="{DA74CFB2-23AD-4654-8116-4F665ACDAE7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51079">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FCC5DE">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8FCC5DE">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29585">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A249C3"/>
    <w:rsid w:val="02076F1C"/>
    <w:rsid w:val="02D50DC8"/>
    <w:rsid w:val="036A7762"/>
    <w:rsid w:val="04D855D4"/>
    <w:rsid w:val="086E55FF"/>
    <w:rsid w:val="09D3761F"/>
    <w:rsid w:val="0D6C40D7"/>
    <w:rsid w:val="0E1F1149"/>
    <w:rsid w:val="0E4806A0"/>
    <w:rsid w:val="108005C5"/>
    <w:rsid w:val="109E6C9D"/>
    <w:rsid w:val="114A0BD3"/>
    <w:rsid w:val="158A3C94"/>
    <w:rsid w:val="180A5BB5"/>
    <w:rsid w:val="1EBD0C36"/>
    <w:rsid w:val="1F0028D1"/>
    <w:rsid w:val="20B6067F"/>
    <w:rsid w:val="21052421"/>
    <w:rsid w:val="2173382E"/>
    <w:rsid w:val="21BF0821"/>
    <w:rsid w:val="22260056"/>
    <w:rsid w:val="24147D39"/>
    <w:rsid w:val="24335324"/>
    <w:rsid w:val="24374FE7"/>
    <w:rsid w:val="2479115B"/>
    <w:rsid w:val="24B65F0C"/>
    <w:rsid w:val="25987D07"/>
    <w:rsid w:val="272F1FA5"/>
    <w:rsid w:val="2AE461D3"/>
    <w:rsid w:val="2BD96984"/>
    <w:rsid w:val="2BFEE4E7"/>
    <w:rsid w:val="2D1E4F96"/>
    <w:rsid w:val="2D4F6EFD"/>
    <w:rsid w:val="2E293BF2"/>
    <w:rsid w:val="312B7C81"/>
    <w:rsid w:val="32700042"/>
    <w:rsid w:val="334B0167"/>
    <w:rsid w:val="335039CF"/>
    <w:rsid w:val="33D463AE"/>
    <w:rsid w:val="342C7F98"/>
    <w:rsid w:val="36145188"/>
    <w:rsid w:val="381E0DE0"/>
    <w:rsid w:val="38E17921"/>
    <w:rsid w:val="3DAB63D2"/>
    <w:rsid w:val="3E42660A"/>
    <w:rsid w:val="3F77049E"/>
    <w:rsid w:val="42AE38A9"/>
    <w:rsid w:val="43BE4985"/>
    <w:rsid w:val="445D419E"/>
    <w:rsid w:val="44953938"/>
    <w:rsid w:val="46E464B1"/>
    <w:rsid w:val="4D1A70D0"/>
    <w:rsid w:val="4DB528CC"/>
    <w:rsid w:val="4F251D5C"/>
    <w:rsid w:val="513242BC"/>
    <w:rsid w:val="539574B0"/>
    <w:rsid w:val="57EE3633"/>
    <w:rsid w:val="584D65AC"/>
    <w:rsid w:val="58B06B3A"/>
    <w:rsid w:val="5ACB1A0A"/>
    <w:rsid w:val="5C3046E3"/>
    <w:rsid w:val="5CB4201E"/>
    <w:rsid w:val="5CBF559E"/>
    <w:rsid w:val="5CD8555F"/>
    <w:rsid w:val="5CF039A9"/>
    <w:rsid w:val="5D9F30DE"/>
    <w:rsid w:val="5E9345EC"/>
    <w:rsid w:val="5FAD16DE"/>
    <w:rsid w:val="5FBBB38D"/>
    <w:rsid w:val="5FF1704B"/>
    <w:rsid w:val="63FB699B"/>
    <w:rsid w:val="641D41C3"/>
    <w:rsid w:val="65D8147F"/>
    <w:rsid w:val="66491B37"/>
    <w:rsid w:val="68776D2D"/>
    <w:rsid w:val="6A1707C7"/>
    <w:rsid w:val="6BDB3A77"/>
    <w:rsid w:val="6BFB7632"/>
    <w:rsid w:val="6D003795"/>
    <w:rsid w:val="6D8C327A"/>
    <w:rsid w:val="6DCFD9C0"/>
    <w:rsid w:val="6E557B10"/>
    <w:rsid w:val="6FD9495C"/>
    <w:rsid w:val="70057314"/>
    <w:rsid w:val="70BD199D"/>
    <w:rsid w:val="713E2ADE"/>
    <w:rsid w:val="71BC1C54"/>
    <w:rsid w:val="71ED1BA7"/>
    <w:rsid w:val="71F47640"/>
    <w:rsid w:val="72566700"/>
    <w:rsid w:val="725B146D"/>
    <w:rsid w:val="727F33AE"/>
    <w:rsid w:val="72DD6326"/>
    <w:rsid w:val="74CF1C9F"/>
    <w:rsid w:val="74FD4A5E"/>
    <w:rsid w:val="764364A0"/>
    <w:rsid w:val="767D5E56"/>
    <w:rsid w:val="775256D0"/>
    <w:rsid w:val="77BF7E79"/>
    <w:rsid w:val="77D23F80"/>
    <w:rsid w:val="7AEFDC06"/>
    <w:rsid w:val="7B2B5FA0"/>
    <w:rsid w:val="7B57FB58"/>
    <w:rsid w:val="7B74994C"/>
    <w:rsid w:val="7CD77597"/>
    <w:rsid w:val="7D6C03C0"/>
    <w:rsid w:val="7DBC7411"/>
    <w:rsid w:val="7F536D66"/>
    <w:rsid w:val="7F7E2222"/>
    <w:rsid w:val="7FDF6B29"/>
    <w:rsid w:val="9BEFF70D"/>
    <w:rsid w:val="AFFFCE2C"/>
    <w:rsid w:val="BCB5F6B8"/>
    <w:rsid w:val="CF8F26C3"/>
    <w:rsid w:val="D7FF70A2"/>
    <w:rsid w:val="DAA98FD7"/>
    <w:rsid w:val="E5CEA1DD"/>
    <w:rsid w:val="EDD974A0"/>
    <w:rsid w:val="F07F5751"/>
    <w:rsid w:val="F9956422"/>
    <w:rsid w:val="F9F70FD2"/>
    <w:rsid w:val="FAF3C54A"/>
    <w:rsid w:val="FBE73D04"/>
    <w:rsid w:val="FDEB9DD4"/>
    <w:rsid w:val="FEEB3136"/>
    <w:rsid w:val="FEFF69CB"/>
    <w:rsid w:val="FF538C81"/>
    <w:rsid w:val="FF8A995D"/>
    <w:rsid w:val="FFAF0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atLeast"/>
      <w:ind w:firstLine="880" w:firstLineChars="200"/>
      <w:jc w:val="both"/>
    </w:pPr>
    <w:rPr>
      <w:rFonts w:ascii="FangSong_GB2312" w:hAnsi="FangSong_GB2312" w:eastAsia="FangSong_GB2312" w:cs="Times New Roman"/>
      <w:kern w:val="2"/>
      <w:sz w:val="32"/>
      <w:szCs w:val="24"/>
      <w:lang w:val="en-US" w:eastAsia="zh-CN" w:bidi="ar-SA"/>
    </w:rPr>
  </w:style>
  <w:style w:type="paragraph" w:styleId="2">
    <w:name w:val="heading 1"/>
    <w:basedOn w:val="1"/>
    <w:next w:val="1"/>
    <w:qFormat/>
    <w:uiPriority w:val="0"/>
    <w:pPr>
      <w:keepNext/>
      <w:keepLines/>
      <w:spacing w:beforeLines="0" w:beforeAutospacing="0" w:afterLines="0" w:afterAutospacing="0" w:line="560" w:lineRule="exact"/>
      <w:ind w:firstLine="0" w:firstLineChars="0"/>
      <w:jc w:val="center"/>
      <w:outlineLvl w:val="0"/>
    </w:pPr>
    <w:rPr>
      <w:rFonts w:ascii="方正小标宋简体" w:hAnsi="方正小标宋简体" w:eastAsia="方正小标宋简体"/>
      <w:kern w:val="44"/>
      <w:sz w:val="44"/>
    </w:rPr>
  </w:style>
  <w:style w:type="paragraph" w:styleId="3">
    <w:name w:val="heading 2"/>
    <w:basedOn w:val="1"/>
    <w:next w:val="1"/>
    <w:link w:val="11"/>
    <w:unhideWhenUsed/>
    <w:qFormat/>
    <w:uiPriority w:val="0"/>
    <w:pPr>
      <w:spacing w:before="0" w:beforeAutospacing="0" w:after="0" w:afterAutospacing="0"/>
      <w:ind w:firstLine="880" w:firstLineChars="200"/>
      <w:jc w:val="left"/>
      <w:outlineLvl w:val="1"/>
    </w:pPr>
    <w:rPr>
      <w:rFonts w:ascii="黑体" w:hAnsi="黑体" w:eastAsia="黑体" w:cs="宋体"/>
      <w:bCs/>
      <w:kern w:val="0"/>
      <w:szCs w:val="36"/>
      <w:lang w:bidi="ar"/>
    </w:rPr>
  </w:style>
  <w:style w:type="paragraph" w:styleId="4">
    <w:name w:val="heading 3"/>
    <w:basedOn w:val="1"/>
    <w:next w:val="1"/>
    <w:unhideWhenUsed/>
    <w:qFormat/>
    <w:uiPriority w:val="0"/>
    <w:pPr>
      <w:keepNext/>
      <w:keepLines/>
      <w:spacing w:beforeLines="0" w:beforeAutospacing="0" w:afterLines="0" w:afterAutospacing="0" w:line="560" w:lineRule="atLeast"/>
      <w:outlineLvl w:val="2"/>
    </w:pPr>
    <w:rPr>
      <w:rFonts w:ascii="FangSong_GB2312" w:hAnsi="FangSong_GB2312" w:eastAsia="FangSong_GB2312"/>
      <w:b/>
    </w:rPr>
  </w:style>
  <w:style w:type="paragraph" w:styleId="5">
    <w:name w:val="heading 4"/>
    <w:basedOn w:val="1"/>
    <w:next w:val="1"/>
    <w:semiHidden/>
    <w:unhideWhenUsed/>
    <w:qFormat/>
    <w:uiPriority w:val="0"/>
    <w:pPr>
      <w:keepNext/>
      <w:keepLines/>
      <w:spacing w:beforeLines="0" w:beforeAutospacing="0" w:afterLines="0" w:afterAutospacing="0" w:line="560" w:lineRule="atLeast"/>
      <w:outlineLvl w:val="3"/>
    </w:pPr>
    <w:rPr>
      <w:rFonts w:ascii="Times New Roman" w:hAnsi="Times New Roman"/>
      <w:b/>
    </w:rPr>
  </w:style>
  <w:style w:type="character" w:default="1" w:styleId="10">
    <w:name w:val="Default Paragraph Font"/>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标题 2 字符"/>
    <w:basedOn w:val="10"/>
    <w:link w:val="3"/>
    <w:semiHidden/>
    <w:qFormat/>
    <w:uiPriority w:val="9"/>
    <w:rPr>
      <w:rFonts w:hint="default" w:ascii="黑体" w:hAnsi="黑体" w:eastAsia="黑体" w:cs="宋体"/>
      <w:color w:val="2E54A1" w:themeColor="accent1" w:themeShade="BF"/>
      <w:sz w:val="32"/>
      <w:szCs w:val="22"/>
      <w14:ligatures w14:val="standardContextual"/>
    </w:rPr>
  </w:style>
  <w:style w:type="paragraph" w:customStyle="1" w:styleId="12">
    <w:name w:val="图标题"/>
    <w:basedOn w:val="1"/>
    <w:next w:val="1"/>
    <w:qFormat/>
    <w:uiPriority w:val="0"/>
    <w:pPr>
      <w:ind w:firstLine="0" w:firstLineChars="0"/>
      <w:jc w:val="center"/>
    </w:pPr>
    <w:rPr>
      <w:rFonts w:hint="eastAsia" w:ascii="Times New Roman" w:hAnsi="Times New Roman"/>
    </w:rPr>
  </w:style>
  <w:style w:type="paragraph" w:customStyle="1" w:styleId="13">
    <w:name w:val="数据来源"/>
    <w:basedOn w:val="1"/>
    <w:next w:val="1"/>
    <w:qFormat/>
    <w:uiPriority w:val="0"/>
    <w:pPr>
      <w:spacing w:line="240" w:lineRule="auto"/>
      <w:jc w:val="right"/>
    </w:pPr>
    <w:rPr>
      <w:rFonts w:hint="default" w:ascii="Times New Roman" w:hAnsi="Times New Roman" w:eastAsia="FangSong_GB2312" w:cstheme="minorBidi"/>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smac\Library\Containers\com.kingsoft.wpsoffice.mac\Data\C:\Users\thismac\Library\Containers\com.kingsoft.wpsoffice.mac\Data\builtin"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5</Pages>
  <Words>1425</Words>
  <Characters>1551</Characters>
  <Lines>0</Lines>
  <Paragraphs>0</Paragraphs>
  <TotalTime>4</TotalTime>
  <ScaleCrop>false</ScaleCrop>
  <LinksUpToDate>false</LinksUpToDate>
  <CharactersWithSpaces>1638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2008-12-30T00:47:00Z</dcterms:created>
  <dc:creator>zhaoxinlei</dc:creator>
  <cp:lastModifiedBy>一半是海</cp:lastModifiedBy>
  <cp:lastPrinted>2026-05-01T03:47:00Z</cp:lastPrinted>
  <dcterms:modified xsi:type="dcterms:W3CDTF">2026-05-11T08:01:46Z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4A8956F4168AF987414380694B98C28F_42</vt:lpwstr>
  </property>
  <property fmtid="{D5CDD505-2E9C-101B-9397-08002B2CF9AE}" pid="4" name="KSOTemplateDocerSaveRecord">
    <vt:lpwstr>eyJoZGlkIjoiZjI3MDc4ZDUzMTdjYjAxM2RjMzNhYzc2MTE0NDZhZDkiLCJ1c2VySWQiOiIzNzY2OTQyMzQifQ==</vt:lpwstr>
  </property>
</Properties>
</file>