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color w:val="1F4E79"/>
          <w:sz w:val="36"/>
        </w:rPr>
        <w:t>2026全国企业数智化转型与赋能典型案例申报材料</w:t>
      </w:r>
    </w:p>
    <w:p>
      <w:pPr>
        <w:jc w:val="center"/>
      </w:pPr>
      <w:r>
        <w:rPr>
          <w:rFonts w:ascii="SimSun" w:hAnsi="SimSun" w:eastAsia="宋体"/>
          <w:b/>
          <w:color w:val="365F91"/>
          <w:sz w:val="28"/>
        </w:rPr>
        <w:t>证元芳：面向临床与医学科研的循证医学智能体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AF3F8"/>
          </w:tcPr>
          <w:p>
            <w:r>
              <w:rPr>
                <w:rFonts w:ascii="SimSun" w:hAnsi="SimSun" w:eastAsia="宋体"/>
                <w:b w:val="0"/>
                <w:sz w:val="19"/>
              </w:rPr>
              <w:t>申报单位</w:t>
            </w:r>
          </w:p>
        </w:tc>
        <w:tc>
          <w:tcPr>
            <w:tcW w:type="dxa" w:w="4703"/>
          </w:tcPr>
          <w:p>
            <w:r>
              <w:rPr>
                <w:rFonts w:ascii="SimSun" w:hAnsi="SimSun" w:eastAsia="宋体"/>
                <w:b w:val="0"/>
                <w:sz w:val="19"/>
              </w:rPr>
              <w:t>北京轻松怡康信息技术有限公司</w:t>
            </w:r>
          </w:p>
        </w:tc>
      </w:tr>
      <w:tr>
        <w:tc>
          <w:tcPr>
            <w:tcW w:type="dxa" w:w="4703"/>
            <w:shd w:fill="EAF3F8"/>
          </w:tcPr>
          <w:p>
            <w:r>
              <w:rPr>
                <w:rFonts w:ascii="SimSun" w:hAnsi="SimSun" w:eastAsia="宋体"/>
                <w:b w:val="0"/>
                <w:sz w:val="19"/>
              </w:rPr>
              <w:t>申报类别</w:t>
            </w:r>
          </w:p>
        </w:tc>
        <w:tc>
          <w:tcPr>
            <w:tcW w:type="dxa" w:w="4703"/>
          </w:tcPr>
          <w:p>
            <w:r>
              <w:rPr>
                <w:rFonts w:ascii="SimSun" w:hAnsi="SimSun" w:eastAsia="宋体"/>
                <w:b w:val="0"/>
                <w:sz w:val="19"/>
              </w:rPr>
              <w:t>2026全国企业数智化转型与赋能优秀案例（如补充真实落地数据，可升级申报十佳案例）</w:t>
            </w:r>
          </w:p>
        </w:tc>
      </w:tr>
      <w:tr>
        <w:tc>
          <w:tcPr>
            <w:tcW w:type="dxa" w:w="4703"/>
            <w:shd w:fill="EAF3F8"/>
          </w:tcPr>
          <w:p>
            <w:r>
              <w:rPr>
                <w:rFonts w:ascii="SimSun" w:hAnsi="SimSun" w:eastAsia="宋体"/>
                <w:b w:val="0"/>
                <w:sz w:val="19"/>
              </w:rPr>
              <w:t>案例名称</w:t>
            </w:r>
          </w:p>
        </w:tc>
        <w:tc>
          <w:tcPr>
            <w:tcW w:type="dxa" w:w="4703"/>
          </w:tcPr>
          <w:p>
            <w:r>
              <w:rPr>
                <w:rFonts w:ascii="SimSun" w:hAnsi="SimSun" w:eastAsia="宋体"/>
                <w:b w:val="0"/>
                <w:sz w:val="19"/>
              </w:rPr>
              <w:t>证元芳</w:t>
            </w:r>
          </w:p>
        </w:tc>
      </w:tr>
      <w:tr>
        <w:tc>
          <w:tcPr>
            <w:tcW w:type="dxa" w:w="4703"/>
            <w:shd w:fill="EAF3F8"/>
          </w:tcPr>
          <w:p>
            <w:r>
              <w:rPr>
                <w:rFonts w:ascii="SimSun" w:hAnsi="SimSun" w:eastAsia="宋体"/>
                <w:b w:val="0"/>
                <w:sz w:val="19"/>
              </w:rPr>
              <w:t>资料版本</w:t>
            </w:r>
          </w:p>
        </w:tc>
        <w:tc>
          <w:tcPr>
            <w:tcW w:type="dxa" w:w="4703"/>
          </w:tcPr>
          <w:p>
            <w:r>
              <w:rPr>
                <w:rFonts w:ascii="SimSun" w:hAnsi="SimSun" w:eastAsia="宋体"/>
                <w:b w:val="0"/>
                <w:sz w:val="19"/>
              </w:rPr>
              <w:t>申报草案 v1.0，生成日期：2026年6月1日</w:t>
            </w:r>
          </w:p>
        </w:tc>
      </w:tr>
    </w:tbl>
    <w:p>
      <w:pPr>
        <w:pStyle w:val="Heading1"/>
      </w:pPr>
      <w:r>
        <w:t>企业简介</w:t>
      </w:r>
    </w:p>
    <w:p>
      <w:r>
        <w:t>北京轻松怡康信息技术有限公司是轻松健康集团相关业务主体之一，围绕“健康+人工智能”双引擎战略，依托AIcare技术栈，推进健康服务、保险技术、医学研究辅助等场景的数智化应用。</w:t>
      </w:r>
    </w:p>
    <w:p>
      <w:pPr>
        <w:pStyle w:val="Heading1"/>
      </w:pPr>
      <w:r>
        <w:t>案例概述</w:t>
      </w:r>
    </w:p>
    <w:p>
      <w:r>
        <w:t>“证元芳”是面向医生、医学生及医学研究场景的循证医学智能体，以“问即有据”为核心。针对医学文献、指南、药品信息和病例知识分散，医生查证成本高，通用大模型依据不可追溯、难以进入严肃医疗工作流等痛点，产品以轻松问医Dr.GPT为底座，融合5000万+实体级别全球医学知识图谱，结合MedClaw多智能体协作和Agent DeepResearch，形成深度检索、权威性评估、准确性校验、引用验证的智能工作流，覆盖诊前查证、诊中决策参考、诊后患者解释，以及论文写作、临床研究方案、考试备考、医学图像、科普内容等场景。MedClaw Skills Store已上线2000+标准化Skill。2026年5月12日，证元芳通过中国信通院/泰尔实验室“医疗健康智能助手（MedClaw）能力测评”，13项功能用例全部通过，并已纳入北京市卫健委医疗AI应用评测体系（进行中），体现了医疗健康服务以专业大模型、知识图谱、智能体和合规测评驱动数智化转型的可复制路径。</w:t>
      </w:r>
    </w:p>
    <w:p>
      <w:pPr>
        <w:pStyle w:val="Heading1"/>
      </w:pPr>
      <w:r>
        <w:t>一、案例背景与痛点需求</w:t>
      </w:r>
    </w:p>
    <w:p>
      <w:r>
        <w:t>医疗健康服务正在从经验驱动、人工检索驱动，走向以专业大模型、医学知识图谱和智能体工作流为核心的数智化服务模式。医生在临床接诊、患者解释、科研写作、临床研究方案设计和继续教育中，需要快速处理大量医学文献、指南、药品说明、真实世界研究资料与病例信息。传统方式依赖人工检索和个人经验，存在检索成本高、依据分散、更新滞后、不同医生之间知识调用不一致等问题。</w:t>
      </w:r>
    </w:p>
    <w:p>
      <w:r>
        <w:t>通用大模型虽然提升了问答效率，但在严肃医疗场景中仍面临依据不可追溯、回答可能存在幻觉、缺少医学专业评估闭环、难以满足医生对可验证证据的要求等风险。证元芳的建设目标不是替代医生诊疗决策，而是把AI能力嵌入医生的查证、解释、科研和学习工作流，为专业人士提供可核验、可追踪、可复用的循证支持。</w:t>
      </w:r>
    </w:p>
    <w:p>
      <w:pPr>
        <w:pStyle w:val="Heading1"/>
      </w:pPr>
      <w:r>
        <w:t>二、建设目标与总体思路</w:t>
      </w:r>
    </w:p>
    <w:p>
      <w:r>
        <w:t>本案例以“问即有据”为主线，面向临床医生、医学生、住院医师、医学运营和研究医生等专业用户，构建一个从循证问答起步，逐步扩展至医学科研、论文写作、临床研究方案、考试备考、科普内容生成、医学图像生成和日程管理的医学AI工作伙伴。</w:t>
      </w:r>
    </w:p>
    <w:p>
      <w:r>
        <w:t>总体思路是以轻松健康自研医疗-健康垂直大模型Dr.GPT提供医学语义理解、内容生成和推理能力，以5000万+实体级别全球医学知识融合底座提供结构化知识支撑，以MedClaw多智能体和Agent DeepResearch完成深度检索、权威性评估、准确性校验和引用验证，再通过移动App、微信公众号菜单栏、浏览器网页端等多入口融入医生日常工作。</w:t>
      </w:r>
    </w:p>
    <w:p>
      <w:pPr>
        <w:pStyle w:val="Heading1"/>
      </w:pPr>
      <w:r>
        <w:t>三、技术路径</w:t>
      </w:r>
    </w:p>
    <w:p>
      <w:r>
        <w:t>1. 专业大模型底座。证元芳上层能力基于轻松问医Dr.GPT构建。Dr.GPT是轻松健康自研医疗-健康垂直领域大模型，训练管线包含医学领域预训练、微调、基于可验证奖励的强化学习（RLVR）、人类指导强化学习、模型评估、医学评估和患者安全评估。知识库口径显示，Dr.GPT当前对外参数规模为100B，并有3000+医生参与人类指导强化学习训练。</w:t>
      </w:r>
    </w:p>
    <w:p>
      <w:r>
        <w:t>2. 医学知识融合底座。证元芳直接构建于全球医学知识融合底座之上，该底座融合PubMed、中文在线、北京卫和健康科技等数据源，形成5000万+实体级别医学知识图谱。其中卫和肿瘤专业结构化子集覆盖疾病、症状、检验检查、药品、临床路径、手术操作和医学知识图谱等维度，为肿瘤等高专业度场景提供结构化知识支撑。</w:t>
      </w:r>
    </w:p>
    <w:p>
      <w:r>
        <w:t>3. 多智能体协作与深度研究。证元芳通过MedClaw多智能体协作体系，将单轮医学问答扩展为多步骤研究式任务。Agent DeepResearch在问题拆解、检索策略、证据筛选、答案生成和引用验证之间形成工作流，确保回答不只给结论，还给出可追溯依据。</w:t>
      </w:r>
    </w:p>
    <w:p>
      <w:r>
        <w:t>4. 技能商店与平台化扩展。MedClaw Skills Store已上线2000+标准化Skill，覆盖临床诊疗、公共卫生、医学教育等多领域，支持第三方技能接入和一键调用，使证元芳从单一问答工具演进为开放的医学智能体能力平台。</w:t>
      </w:r>
    </w:p>
    <w:p>
      <w:r>
        <w:t>5. 安全合规与数据隔离。产品能力设计中包含企业级数据隔离、多端接入、用户记忆等能力。相关AI能力已纳入集团多项算法备案、北京网信办AI产品登记和医疗领域人工智能应用评测体系；在对外表述中，应区分证元芳自身测评、上游模型备案和集团整体资质，避免将集团资质直接等同于证元芳单产品备案。</w:t>
      </w:r>
    </w:p>
    <w:p>
      <w:pPr>
        <w:pStyle w:val="Heading1"/>
      </w:pPr>
      <w:r>
        <w:t>四、实施模式</w:t>
      </w:r>
    </w:p>
    <w:p>
      <w:r>
        <w:t>证元芳采用“医生免费 + 机构付费”的分层模式，降低医生个人使用门槛，将商业化重点放在医院、药企及相关机构的定制化付费、系统融合、培训部署和学术推广合作上。该模式有利于让AI工具先进入医生个人工作流，再通过机构级部署与院内系统、药企学术推广和医学研究项目结合。</w:t>
      </w:r>
    </w:p>
    <w:p>
      <w:r>
        <w:t>从产品阶段看，证元芳1.0阶段聚焦循证问答和证据来源追溯；当前2.0阶段已经扩展至医学生和更广泛医师群体，能力覆盖论文写作与优化、临床研究方案设计、考试备考、医学图像生成、科普内容生成、日程管理等。原“科研智能体蜂群”中的文献解读、临床研究方案撰写等能力，也已并入证元芳2.0科研工作流模块。</w:t>
      </w:r>
    </w:p>
    <w:p>
      <w:pPr>
        <w:pStyle w:val="Heading1"/>
      </w:pPr>
      <w:r>
        <w:t>五、应用场景</w:t>
      </w:r>
    </w:p>
    <w:p>
      <w:r>
        <w:t>1. 诊前：医生在接诊前快速获取与患者病情相关的文献、指南和循证依据，降低人工检索成本。2. 诊中：医生在治疗路径、用药方案或检查安排等环节获得可追溯的医学依据，辅助形成更稳健的专业判断。3. 诊后：医生可将专业证据转化为患者更容易理解的解释和随访建议，提升医患沟通效率。</w:t>
      </w:r>
    </w:p>
    <w:p>
      <w:r>
        <w:t>4. 医学科研：支持文献检索、文献解读、研究问题拆解、论文写作与优化、临床研究方案撰写等任务。5. 医学教育与培训：面向医学生、住院医师和专科医生提供真题备考、解析、知识点回顾和病例学习。6. 患者教育与科普：帮助医生生成通俗易懂的科普内容、患者教育材料和医学示意图。</w:t>
      </w:r>
    </w:p>
    <w:p>
      <w:pPr>
        <w:pStyle w:val="Heading1"/>
      </w:pPr>
      <w:r>
        <w:t>六、实践成效</w:t>
      </w:r>
    </w:p>
    <w:p>
      <w:r>
        <w:t>第一，权威测评验证。证元芳V1.0已通过中国信通院/泰尔实验室“医疗健康智能助手（MedClaw）能力测评”，检测日期为2026年4月29日至5月6日，颁发日期为2026年5月12日，证书编号为2026TZ000321，报告编号为26B01Z100580-003。测评共13项功能用例，实测13项，通过13项，未通过0项，覆盖循证问答即时响应、证据来源追溯、复杂病例深度分析、多Agent协作、企业级数据隔离、医学图像生成、科普内容生成、论文生成与优化、临床试验方案设计、技能商店调用、真题备考模式、多端接入和用户记忆功能。</w:t>
      </w:r>
    </w:p>
    <w:p>
      <w:r>
        <w:t>第二，专业能力验证。知识库显示，证元芳在CMB中国执业医师资格考试中实现国内首家满分，并在肿瘤科正高、副高考试中取得SOTA成绩。这些结果体现了产品在医学知识理解、专业推理和考试型标准化任务中的能力水平。</w:t>
      </w:r>
    </w:p>
    <w:p>
      <w:r>
        <w:t>第三，平台化与生态基础。证元芳所属的i-Magellanic麦哲伦医药研究平台截至2025年12月31日已落地46项数字医学研究辅助项目，合作103家制药合作伙伴；集团数字医学研究辅助服务收入2025年为41.7百万元，同比增长29.5%。这些平台层成果为证元芳在医学研究、药企合作和机构服务场景中的推广奠定基础。</w:t>
      </w:r>
    </w:p>
    <w:p>
      <w:r>
        <w:t>第四，合规与监管进程。证元芳已于2025年11月19日提交北京市卫生健康委员会医疗领域人工智能应用评测，目前处于评测进行中状态；对外材料中应表述为“已纳入评测体系”，不得写成“已通过”。</w:t>
      </w:r>
    </w:p>
    <w:p>
      <w:pPr>
        <w:pStyle w:val="Heading1"/>
      </w:pPr>
      <w:r>
        <w:t>七、创新性、示范性与可推广性</w:t>
      </w:r>
    </w:p>
    <w:p>
      <w:r>
        <w:t>创新性方面，证元芳将医疗-健康垂直大模型、全球医学知识图谱、Agent DeepResearch、多智能体协作和技能商店整合为统一医学智能体，把传统“搜索资料—人工判断—写作输出”的长流程压缩为可验证、可追溯的智能工作流。</w:t>
      </w:r>
    </w:p>
    <w:p>
      <w:r>
        <w:t>示范性方面，案例展示了医疗健康企业如何在合规边界内推进AI应用：既强调大模型能力，又通过第三方测评、引用验证、数据隔离和监管评测进程建立可信机制；既提升医生效率，又不替代医生最终诊疗决策，符合严肃医疗场景的责任边界。</w:t>
      </w:r>
    </w:p>
    <w:p>
      <w:r>
        <w:t>可推广性方面，证元芳的能力可在医院科室、药企医学事务、真实世界研究、医学教育、患者教育和健康科普等场景复用。其“专业大模型 + 领域知识图谱 + 智能体工作流 + 可追溯证据”的技术路径，也可为其他企业数智化转型提供参考。</w:t>
      </w:r>
    </w:p>
    <w:p>
      <w:pPr>
        <w:pStyle w:val="Heading1"/>
      </w:pPr>
      <w:r>
        <w:t>八、真实性与材料边界说明</w:t>
      </w:r>
    </w:p>
    <w:p>
      <w:r>
        <w:t>本申报材料中的产品能力、技术架构、测评结论、平台数据和合规状态来自Aicare产品知识库、活动通知及用户提供的证元芳产品介绍资料。当前知识库明确提示：证元芳暂无可公开披露的具体医院/科室落地案例，CMB满分、肿瘤科正高/副高SOTA属于能力验证，不应写成客户落地成效。</w:t>
      </w:r>
    </w:p>
    <w:p>
      <w:r>
        <w:t>为增强申报竞争力，建议申报单位补充至少一个真实使用案例，包括医院/科室或医生群体、上线时间、使用规模、典型场景、效率提升或质量提升数据、用户反馈、截图或证明文件。</w:t>
      </w:r>
    </w:p>
    <w:p>
      <w:pPr>
        <w:pStyle w:val="Heading1"/>
      </w:pPr>
      <w:r>
        <w:t>附录：主要事实来源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</w:tcPr>
          <w:p>
            <w:r>
              <w:rPr>
                <w:rFonts w:ascii="SimSun" w:hAnsi="SimSun" w:eastAsia="宋体"/>
                <w:b/>
                <w:sz w:val="19"/>
              </w:rPr>
              <w:t>事实类型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SimSun" w:hAnsi="SimSun" w:eastAsia="宋体"/>
                <w:b/>
                <w:sz w:val="19"/>
              </w:rPr>
              <w:t>申报材料采用口径</w:t>
            </w:r>
          </w:p>
        </w:tc>
        <w:tc>
          <w:tcPr>
            <w:tcW w:type="dxa" w:w="3135"/>
            <w:shd w:fill="D9EAF7"/>
          </w:tcPr>
          <w:p>
            <w:r>
              <w:rPr>
                <w:rFonts w:ascii="SimSun" w:hAnsi="SimSun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活动规则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征集对象为企业数智化转型实践；材料含企业简介、案例概述、案例详情和JPG展示材料；截止日期为2026年5月29日。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案例征集通知-2026全国企业数智化转型与赋能典型案例_副本.docx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申报对象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申报单位：北京轻松怡康信息技术有限公司；申报案例：证元芳。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用户指令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产品定位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证元芳是i-Magellanic麦哲伦医药研究平台下的医学AI助手，核心表达为“问即有据”。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qschouteam/Aicare-Product-Kb: references/06｜i-Magellanic 麦哲伦医药研究平台/证元芳.md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能力阶段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证元芳当前处于2.0阶段，从循证扩展到论文、临床研究方案、备考、医学图像、科普、日程管理等场景。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qschouteam/Aicare-Product-Kb: references/06｜i-Magellanic 麦哲伦医药研究平台/证元芳.md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知识底座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全球医学知识融合底座为5000万+实体级别，融合PubMed、中文在线、北京卫和健康科技等数据源。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qschouteam/Aicare-Product-Kb: references/06｜i-Magellanic 麦哲伦医药研究平台/证元芳.md；qschouteam/Aicare-Product-Kb: references/08｜业务场景模型矩阵/知识图谱.md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技能商店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MedClaw Skills Store当前已上线2000+标准化Skill，覆盖临床诊疗、公共卫生、医学教育等领域。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qschouteam/Aicare-Product-Kb: references/06｜i-Magellanic 麦哲伦医药研究平台/证元芳.md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测评结果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2026-05-12通过中国信通院/泰尔实验室医疗健康智能助手（MedClaw）能力测评，13/13用例通过，证书编号2026TZ000321。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qschouteam/Aicare-Product-Kb: references/97｜合规与监管资质.md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监管进程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证元芳已提交北京市卫生健康委员会医疗领域人工智能应用评测，状态为进行中，不能写为已通过。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qschouteam/Aicare-Product-Kb: references/97｜合规与监管资质.md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平台成果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i-Magellanic平台截至2025-12-31已落地46项数字医学研究辅助项目，合作103家制药合作伙伴。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qschouteam/Aicare-Product-Kb: references/06｜i-Magellanic 麦哲伦医药研究平台/平台总述.md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主体风险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CAICT测评委托单位为北京轻松健康网络科技有限公司；如申报单位为北京轻松怡康信息技术有限公司，建议补充集团内授权或联合申报说明。</w:t>
            </w:r>
          </w:p>
        </w:tc>
        <w:tc>
          <w:tcPr>
            <w:tcW w:type="dxa" w:w="3135"/>
            <w:vAlign w:val="center"/>
          </w:tcPr>
          <w:p>
            <w:pPr>
              <w:spacing w:after="40"/>
            </w:pPr>
            <w:r>
              <w:rPr>
                <w:rFonts w:ascii="SimSun" w:hAnsi="SimSun" w:eastAsia="宋体"/>
                <w:sz w:val="17"/>
              </w:rPr>
              <w:t>qschouteam/Aicare-Product-Kb: references/97｜合规与监管资质.md</w:t>
            </w:r>
          </w:p>
        </w:tc>
      </w:tr>
    </w:tbl>
    <w:sectPr w:rsidR="00FC693F" w:rsidRPr="0006063C" w:rsidSect="00034616"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imSun" w:hAnsi="SimSun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imSun" w:hAnsi="SimSun" w:eastAsia="黑体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imSun" w:hAnsi="SimSun" w:eastAsia="黑体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