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1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2 问题分析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H1"/>
        <w:widowControl/>
      </w:pPr>
      <w:r>
        <w:t>3 符号说明与模型假设</w:t>
      </w:r>
    </w:p>
    <w:p>
      <w:pPr>
        <w:pStyle w:val="PaperBody"/>
        <w:widowControl/>
      </w:pPr>
      <w:r>
        <w:t>表1给出统一符号。除题设原始成本在推导中明确转换外，所有章节的N、D均采用十亿单位；不同来源Loss不视为自动同量尺。时间在参数关联回归中以年计，在动态预测中以周计，分别注明。</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4 数据预处理与证据范围</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数据说明中的页边浅色干扰文本不作为题目定义或模型指令，只采用可见正文并与字段、原件哈希核对。无法辨明生成机制的字段保留不确定标记，不为了让结果完整而插补训练量或翻转质量方向。</w:t>
      </w:r>
    </w:p>
    <w:p>
      <w:pPr>
        <w:pStyle w:val="PaperH1"/>
        <w:widowControl/>
      </w:pPr>
      <w:r>
        <w:t>5 问题一 多维质量评价与领域配比建模</w:t>
      </w:r>
    </w:p>
    <w:p>
      <w:pPr>
        <w:pStyle w:val="PaperH2"/>
        <w:widowControl/>
      </w:pPr>
      <w:r>
        <w:t>5.1 二十二项综合评分与五维解释性画像</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本稿将质量表示分为两层。第一层是覆盖全部22项的规则构造综合分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和覆盖数，272486条22项完整。域均值按文本数加权；表3列出 A1 七域及去重扩展结果，区间为域内文本重新抽样的均值分位，仅衡量当前标注体系的组成敏感性。</w:t>
      </w:r>
    </w:p>
    <w:p>
      <w:pPr>
        <w:pStyle w:val="PaperCaption"/>
        <w:keepNext/>
        <w:widowControl/>
      </w:pPr>
      <w:r>
        <w:t>表3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图1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ID。图1给出五维域画像。A1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H2"/>
        <w:widowControl/>
      </w:pPr>
      <w:r>
        <w:t>5.2 区分语义冲突与统计分歧</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H2"/>
        <w:widowControl/>
      </w:pPr>
      <w:r>
        <w:t>5.3 单纯形约束下的配比响应</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表4汇总主要验证，图2展示逐域结果。1M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表4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图2 1M留出样本的逐领域预测误差。全13域改善仍伴随不同的误差水平，完整数值见附录B。</w:t>
      </w:r>
    </w:p>
    <w:p>
      <w:pPr>
        <w:pStyle w:val="PaperH2"/>
        <w:widowControl/>
      </w:pPr>
      <w:r>
        <w:t>5.4 支持范围与外推结论</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未重拟合，只比较中心化响应形状、排序与训练几何支持。表5给出补充结果。</w:t>
      </w:r>
    </w:p>
    <w:p>
      <w:pPr>
        <w:pStyle w:val="PaperCaption"/>
        <w:keepNext/>
        <w:widowControl/>
      </w:pPr>
      <w:r>
        <w:t>表5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H1"/>
        <w:widowControl/>
      </w:pPr>
      <w:r>
        <w:t>6 问题二 来源分层的广义标度律</w:t>
      </w:r>
    </w:p>
    <w:p>
      <w:pPr>
        <w:pStyle w:val="PaperH2"/>
        <w:widowControl/>
      </w:pPr>
      <w:r>
        <w:t>6.1 来源内估计与参数含义</w:t>
      </w:r>
    </w:p>
    <w:p>
      <w:pPr>
        <w:pStyle w:val="PaperBody"/>
        <w:widowControl/>
      </w:pPr>
      <w:r>
        <w:t>B1 提供 8 个参数规模、每个规模 147 个训练检查点，共 1176 行。N、D 分别以十亿参数和十亿 token 为单位。采用加性幂律模型[1]，按每条规模轨迹等权的均方误差估计五参数；原网格各轨迹等长，此目标与逐行均方误差等价。12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（6）</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降低且边际改善递减，不证明现实训练完全满足加性可分离。表6给出估计及整轨迹重抽样的条件分位区间。</w:t>
      </w:r>
    </w:p>
    <w:p>
      <w:pPr>
        <w:pStyle w:val="PaperCaption"/>
        <w:keepNext/>
        <w:widowControl/>
      </w:pPr>
      <w:r>
        <w:t>表6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（7）</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H2"/>
        <w:widowControl/>
      </w:pPr>
      <w:r>
        <w:t>6.2 轨迹验证与跨来源诊断</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点。表7与图3显示幂律模型相对于均值和对数线性对照的结果。</w:t>
      </w:r>
    </w:p>
    <w:p>
      <w:pPr>
        <w:pStyle w:val="PaperCaption"/>
        <w:keepNext/>
        <w:widowControl/>
      </w:pPr>
      <w:r>
        <w:t>表7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7" name="Picture 7"/>
            <wp:cNvGraphicFramePr>
              <a:graphicFrameLocks noChangeAspect="1"/>
            </wp:cNvGraphicFramePr>
            <a:graphic>
              <a:graphicData uri="http://schemas.openxmlformats.org/drawingml/2006/picture">
                <pic:pic>
                  <pic:nvPicPr>
                    <pic:cNvPr id="0" name="FIG-Q2-R5-002.png"/>
                    <pic:cNvPicPr/>
                  </pic:nvPicPr>
                  <pic:blipFill>
                    <a:blip r:embed="rId15"/>
                    <a:stretch>
                      <a:fillRect/>
                    </a:stretch>
                  </pic:blipFill>
                  <pic:spPr>
                    <a:xfrm>
                      <a:off x="0" y="0"/>
                      <a:ext cx="5941060" cy="3928764"/>
                    </a:xfrm>
                    <a:prstGeom prst="rect"/>
                  </pic:spPr>
                </pic:pic>
              </a:graphicData>
            </a:graphic>
          </wp:inline>
        </w:drawing>
      </w:r>
    </w:p>
    <w:p>
      <w:pPr>
        <w:pStyle w:val="PaperCaption"/>
        <w:widowControl/>
      </w:pPr>
      <w:r>
        <w:t>图3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H2"/>
        <w:widowControl/>
      </w:pPr>
      <w:r>
        <w:t>6.3 边际效用 弹性与规模替代</w:t>
      </w:r>
    </w:p>
    <w:p>
      <w:pPr>
        <w:pStyle w:val="PaperBody"/>
        <w:widowControl/>
      </w:pPr>
      <w:r>
        <w:t>令 U=A N^(−α)、V=B D^(−β)。对式（6）求导并按总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（8）</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（9）</w:t>
      </w:r>
    </w:p>
    <w:p>
      <w:pPr>
        <w:pStyle w:val="PaperBody"/>
        <w:widowControl/>
      </w:pPr>
      <w:r>
        <w:t>有限替代要求右端分母为正，且新点仍在模型支持范围。图4只展示总Loss弹性在附件支持网格中的分布；边际导数与等Loss替代由式（8）—（9）及数值示例承担。在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8" name="Picture 8"/>
            <wp:cNvGraphicFramePr>
              <a:graphicFrameLocks noChangeAspect="1"/>
            </wp:cNvGraphicFramePr>
            <a:graphic>
              <a:graphicData uri="http://schemas.openxmlformats.org/drawingml/2006/picture">
                <pic:pic>
                  <pic:nvPicPr>
                    <pic:cNvPr id="0" name="FIG4_Q2_TOTAL_LOSS_ELASTICITY_REEXPORT.png"/>
                    <pic:cNvPicPr/>
                  </pic:nvPicPr>
                  <pic:blipFill>
                    <a:blip r:embed="rId17"/>
                    <a:stretch>
                      <a:fillRect/>
                    </a:stretch>
                  </pic:blipFill>
                  <pic:spPr>
                    <a:xfrm>
                      <a:off x="0" y="0"/>
                      <a:ext cx="4320000" cy="3376073"/>
                    </a:xfrm>
                    <a:prstGeom prst="rect"/>
                  </pic:spPr>
                </pic:pic>
              </a:graphicData>
            </a:graphic>
          </wp:inline>
        </w:drawing>
      </w:r>
    </w:p>
    <w:p>
      <w:pPr>
        <w:pStyle w:val="PaperCaption"/>
        <w:widowControl/>
      </w:pPr>
      <w:r>
        <w:t>图4 参数与数据规模对总Loss的弹性热图。横纵轴按B1网格位置排布；图中没有有限替代曲线，替代关系由式（9）给出。</w:t>
      </w:r>
    </w:p>
    <w:p>
      <w:pPr>
        <w:pStyle w:val="PaperH2"/>
        <w:widowControl/>
      </w:pPr>
      <w:r>
        <w:t>6.4 广义质量与配比项的条件解释</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（10）</w:t>
      </w:r>
    </w:p>
    <w:p>
      <w:pPr>
        <w:pStyle w:val="PaperBody"/>
        <w:widowControl/>
      </w:pPr>
      <w:r>
        <w:t>Q0=0.5，λ 取 0、0.5、1、1.5。ΔL_A 为 A 来源中相对于参考配比的 R0 变化；k_s 还包含 A/B Loss 量尺转换，无法由现有数据估计。默认基线为 h_Q=0、k_s=0。由此广义式在参考质量与配比处退化为式（6）；非零质量项和跨来源配比项只作为明确假定的情景，不以拟合符号冒充已经识别的统一规律。</w:t>
      </w:r>
    </w:p>
    <w:p>
      <w:pPr>
        <w:pStyle w:val="PaperCaption"/>
        <w:keepNext/>
        <w:widowControl/>
      </w:pPr>
      <w:r>
        <w:t>表8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替代由式（10）求导；在固定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（11）</w:t>
      </w:r>
    </w:p>
    <w:p>
      <w:pPr>
        <w:pStyle w:val="PaperBody"/>
        <w:widowControl/>
      </w:pPr>
      <w:r>
        <w:t>表8的替代量取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（12）</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H1"/>
        <w:widowControl/>
      </w:pPr>
      <w:r>
        <w:t>7 问题三 支持域约束下的资源配置</w:t>
      </w:r>
    </w:p>
    <w:p>
      <w:pPr>
        <w:pStyle w:val="PaperH2"/>
        <w:widowControl/>
      </w:pPr>
      <w:r>
        <w:t>7.1 统一单位的算力代理</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（13）</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（14）</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主问题关闭质量收益和配比运输，以式（6）最小化附件内部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H2"/>
        <w:widowControl/>
      </w:pPr>
      <w:r>
        <w:t>7.2 解析最优配置与结构转移</w:t>
      </w:r>
    </w:p>
    <w:p>
      <w:pPr>
        <w:pStyle w:val="PaperBody"/>
        <w:widowControl/>
      </w:pPr>
      <w:r>
        <w:t>固定 L_ctx 且 r=0 时，若两支持上界都可承担，则取两上界并允许预算闲置。否则目标对 N、D 均单调下降，预算紧约束给出 ND=K=c/k。将 D=K/N 代入式（6），令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（15）</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（16）</w:t>
      </w:r>
    </w:p>
    <w:p>
      <w:pPr>
        <w:pStyle w:val="PaperBody"/>
        <w:widowControl/>
      </w:pPr>
      <w:r>
        <w:t>式（16）仅用于预算紧且可行区间非空的情形；若 K&lt;N_min D_min 则不可行。该推导同时说明内点 N、D 对预算的弹性分别为 0.451522、0.548478。表9给出参考上下文 2048、质量收益与配比运输均关闭时的三个代表配置。</w:t>
      </w:r>
    </w:p>
    <w:p>
      <w:pPr>
        <w:pStyle w:val="PaperCaption"/>
        <w:keepNext/>
        <w:widowControl/>
      </w:pPr>
      <w:r>
        <w:t>表9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定义结构转移为最优配置的活跃约束集合改变，而不把平滑比例变化直接称为质变。图5显示，预算约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图5 题设成本代理与附件内部Loss下的预算配置及损失路径。竖向点线标示统计支持界开始活跃的位置；橙色虚线为最优数据量，平台不代表真实训练收益终极饱和。</w:t>
      </w:r>
    </w:p>
    <w:p>
      <w:pPr>
        <w:pStyle w:val="PaperH2"/>
        <w:widowControl/>
      </w:pPr>
      <w:r>
        <w:t>7.3 质量成本选择与投入门槛</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（17）</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表10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图6 三种题设质量成本下的条件Q与Loss路径。收益假设来自半合成质量校准，曲线不是实测投资回报。</w:t>
      </w:r>
    </w:p>
    <w:p>
      <w:pPr>
        <w:pStyle w:val="PaperBody"/>
        <w:widowControl/>
      </w:pPr>
      <w:r>
        <w:t>表10对比 10¹⁹ 预算、2048 上下文和参考收益 h_Q=0.361995 下的结果。图6展示完整条件投入路径。成本形式改变机会成本，因而即使采用相同收益假设，也可能给出几乎不投入、中等投入或直接投向上界的不同质量选择。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（18）</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H2"/>
        <w:widowControl/>
      </w:pPr>
      <w:r>
        <w:t>7.4 局部配比与可实施边界</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H2"/>
        <w:widowControl/>
      </w:pPr>
      <w:r>
        <w:t>7.5 上下文成本与解析交点</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（19）</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H2"/>
        <w:widowControl/>
      </w:pPr>
      <w:r>
        <w:t>7.6 影子价格与不确定性</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图7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个条件配置。没有把各参数的边际区间独立组合。图7分开显示参数数值敏感性和收益机制情景范围。例如参考低预算的参数条件区间约为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H1"/>
        <w:widowControl/>
      </w:pPr>
      <w:r>
        <w:t>8 问题四 能力前沿分解与条件预测</w:t>
      </w:r>
    </w:p>
    <w:p>
      <w:pPr>
        <w:pStyle w:val="PaperH2"/>
        <w:widowControl/>
      </w:pPr>
      <w:r>
        <w:t>8.1 同口径能力与研究样本</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（20）</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H2"/>
        <w:widowControl/>
      </w:pPr>
      <w:r>
        <w:t>8.2 Loss与能力分数桥接未通过</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和配对时点也未完全核实。表11给出高可比组的留一规模结果。</w:t>
      </w:r>
    </w:p>
    <w:p>
      <w:pPr>
        <w:pStyle w:val="PaperCaption"/>
        <w:keepNext/>
        <w:widowControl/>
      </w:pPr>
      <w:r>
        <w:t>表11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H2"/>
        <w:widowControl/>
      </w:pPr>
      <w:r>
        <w:t>8.3 参数规模关联与剩余性能分量</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（21）</w:t>
      </w:r>
    </w:p>
    <w:p>
      <w:pPr>
        <w:pStyle w:val="PaperBody"/>
        <w:widowControl/>
      </w:pPr>
      <w:r>
        <w:t>式（21）中的时间以年计。θ_N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（22）</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图8 前沿变化的参数关联与调整残差分解。两分量相加等于前沿，不表示完整规模与因果技术贡献。</w:t>
      </w:r>
    </w:p>
    <w:p>
      <w:pPr>
        <w:pStyle w:val="PaperBody"/>
        <w:widowControl/>
      </w:pPr>
      <w:r>
        <w:t>表12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表12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lnD，不插补其余847条。表13显示删一模型及compute口径检查后的大幅波动；小样本还混合不同家族，不能把子样本系数投射到完整前沿。</w:t>
      </w:r>
    </w:p>
    <w:p>
      <w:pPr>
        <w:pStyle w:val="PaperCaption"/>
        <w:keepNext/>
        <w:widowControl/>
      </w:pPr>
      <w:r>
        <w:t>表13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H2"/>
        <w:widowControl/>
      </w:pPr>
      <w:r>
        <w:t>8.4 动态模型与短期限验证</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周没有可用回测，更无30—42个月覆盖验证。表14给出宏观能力点数的 MAE。</w:t>
      </w:r>
    </w:p>
    <w:p>
      <w:pPr>
        <w:pStyle w:val="PaperCaption"/>
        <w:keepNext/>
        <w:widowControl/>
      </w:pPr>
      <w:r>
        <w:t>表14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（23）</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H2"/>
        <w:widowControl/>
      </w:pPr>
      <w:r>
        <w:t>8.5 日期明确的预测与三类不确定性</w:t>
      </w:r>
    </w:p>
    <w:p>
      <w:pPr>
        <w:pStyle w:val="PaperBody"/>
        <w:widowControl/>
      </w:pPr>
      <w:r>
        <w:t>预测原点为 2026-09-25，但最后评测观测为 2025-03-14，已经相隔 560 天。因此“未来12和24个月”分别指 2027-09-25、2028-09-25，实际距离最后数据约 30 和 42 个月，两者均以远外推为主。表15及图9把这些日期与条件中心并列，不能把中心解释为已经长期回测的产业预测。</w:t>
      </w:r>
    </w:p>
    <w:p>
      <w:pPr>
        <w:pStyle w:val="PaperCaption"/>
        <w:keepNext/>
        <w:widowControl/>
      </w:pPr>
      <w:r>
        <w:t>表15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第二类是模型不确定性。表15最后一列仅为四个预定动态模型的中心预测范围，没有概率覆盖含义，也没有包含所有可能模型或全部筛选敏感性。它与前一列不能互换，不能将较窄者择优作为最终风险范围。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（24）</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分/lnN，把假设的规模路径直接在benchmark分数空间平移；不使用失败的Loss桥接。表16给出可区分的条件中心，减幅分别为参考路径关联增量的一半和全部。</w:t>
      </w:r>
    </w:p>
    <w:p>
      <w:pPr>
        <w:pStyle w:val="PaperCaption"/>
        <w:keepNext/>
        <w:widowControl/>
      </w:pPr>
      <w:r>
        <w:t>表16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16没有为未来情景估计发生概率，也没有经验覆盖区间；表15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H1"/>
        <w:widowControl/>
      </w:pPr>
      <w:r>
        <w:t>9 模型评价与局限性</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15的条件中心代替高可信产业预测，也不能将模型得分上界当作真实技术饱和证据。</w:t>
      </w:r>
    </w:p>
    <w:p>
      <w:pPr>
        <w:pStyle w:val="PaperH1"/>
        <w:widowControl/>
      </w:pPr>
      <w:r>
        <w:t>10 结论</w:t>
      </w:r>
    </w:p>
    <w:p>
      <w:pPr>
        <w:pStyle w:val="PaperBody"/>
        <w:widowControl/>
      </w:pPr>
      <w:r>
        <w:t>问题一形成覆盖22项的规则构造综合评分Q_full、五维解释性画像及受限配比预测；1M留出表现支持局部配比关联，1B失败及10B/70B估算外推限制其运输范围。问题二给出附件内部N–D幂律及边际、弹性和有限替代公式，半合成质量与跨来源配比关系通过显式条件情景表达。</w:t>
      </w:r>
    </w:p>
    <w:p>
      <w:pPr>
        <w:pStyle w:val="PaperBody"/>
        <w:widowControl/>
      </w:pPr>
      <w:r>
        <w:t>问题三在题设算力代理下得到解析与数值一致的条件配置，预算增加先触及数据支持界，再触及参数支持界，平台反映证据边界。质量成本可改变有限投入选择，局部启动条件不能代替非凸情景的全局比较。</w:t>
      </w:r>
    </w:p>
    <w:p>
      <w:pPr>
        <w:pStyle w:val="PaperBody"/>
        <w:widowControl/>
      </w:pPr>
      <w:r>
        <w:t>问题四观察到同口径群体前沿上升；候选Loss–Benchmark映射验证失败，完整规模与技术进步的份额不可识别。外生放缓情景提供可区分的条件中心，真实算力增长与因果影响仍未知。给出的12/24个月结果是陈旧观测条件下的长期投影，必须与统计区间、模型范围和不可识别部分一起使用。四问的共同价值是把可复核的数量关系和不能由资料支撑的推断明确分开。</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r>
        <w:br w:type="page"/>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表B1列出1M留出运行的全部13域原尺度RMSE，与图2和表3来自相同冻结预测。总体改善并未消除领域间误差差异。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标度律采用轨迹等权的有界非线性最小二乘，保存验证索引并按整轨迹重抽样。资源基线用式（16）；质量情景固定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算力约束下大语言模型的质量评价资源配置与能力前沿预测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