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uto" w:line="312"/>
        <w:jc w:val="center"/>
        <w:rPr/>
      </w:pPr>
      <w:r>
        <w:rPr>
          <w:rFonts w:ascii="华文中宋" w:hAnsi="华文中宋" w:cs="华文中宋" w:eastAsia="华文中宋"/>
          <w:b/>
          <w:color w:val="000000"/>
          <w:sz w:val="36"/>
          <w:szCs w:val="36"/>
        </w:rPr>
        <w:drawing>
          <wp:inline distT="0" distB="0" distL="0" distR="0">
            <wp:extent cx="1301115" cy="828675"/>
            <wp:effectExtent l="0" t="0" r="0" b="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noChangeArrowheads="1"/>
                    </pic:cNvPicPr>
                  </pic:nvPicPr>
                  <pic:blipFill>
                    <a:blip r:embed="rId2"/>
                    <a:srcRect l="-15" t="-23" r="-15" b="-23"/>
                    <a:stretch>
                      <a:fillRect/>
                    </a:stretch>
                  </pic:blipFill>
                  <pic:spPr bwMode="auto">
                    <a:xfrm>
                      <a:off x="0" y="0"/>
                      <a:ext cx="1301115" cy="828675"/>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r>
        <w:rPr/>
        <w:drawing>
          <wp:inline distT="0" distB="0" distL="0" distR="0">
            <wp:extent cx="993775" cy="956310"/>
            <wp:effectExtent l="0" t="0" r="0"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noChangeArrowheads="1"/>
                    </pic:cNvPicPr>
                  </pic:nvPicPr>
                  <pic:blipFill>
                    <a:blip r:embed="rId3"/>
                    <a:srcRect l="-30" t="-30" r="-30" b="-30"/>
                    <a:stretch>
                      <a:fillRect/>
                    </a:stretch>
                  </pic:blipFill>
                  <pic:spPr bwMode="auto">
                    <a:xfrm>
                      <a:off x="0" y="0"/>
                      <a:ext cx="993775" cy="956310"/>
                    </a:xfrm>
                    <a:prstGeom prst="rect">
                      <a:avLst/>
                    </a:prstGeom>
                    <a:noFill/>
                  </pic:spPr>
                </pic:pic>
              </a:graphicData>
            </a:graphic>
          </wp:inline>
        </w:drawing>
      </w:r>
      <w:r>
        <w:rPr>
          <w:rFonts w:hint="eastAsia"/>
        </w:rPr>
        <w:t xml:space="preserve">   </w:t>
      </w:r>
      <w:r>
        <w:rPr>
          <w:rFonts w:ascii="华文中宋" w:hAnsi="华文中宋" w:cs="华文中宋" w:hint="eastAsia" w:eastAsia="华文中宋"/>
          <w:b/>
          <w:color w:val="000000"/>
          <w:sz w:val="36"/>
          <w:szCs w:val="36"/>
        </w:rPr>
        <w:drawing>
          <wp:inline distT="0" distB="0" distL="0" distR="0">
            <wp:extent cx="1009015" cy="1009015"/>
            <wp:effectExtent l="0" t="0" r="0" b="0"/>
            <wp:docPr id="3"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2"/>
                    <pic:cNvPicPr>
                      <a:picLocks noChangeAspect="1" noChangeArrowheads="1"/>
                    </pic:cNvPicPr>
                  </pic:nvPicPr>
                  <pic:blipFill>
                    <a:blip r:embed="rId4"/>
                    <a:srcRect l="-5" t="-5" r="-5" b="-5"/>
                    <a:stretch>
                      <a:fillRect/>
                    </a:stretch>
                  </pic:blipFill>
                  <pic:spPr bwMode="auto">
                    <a:xfrm>
                      <a:off x="0" y="0"/>
                      <a:ext cx="1009015" cy="1009015"/>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r>
        <w:rPr>
          <w:lang w:val="zh-CN" w:eastAsia="zh-CN"/>
        </w:rPr>
        <w:drawing>
          <wp:inline distT="0" distB="0" distL="0" distR="0">
            <wp:extent cx="867410" cy="819150"/>
            <wp:effectExtent l="0" t="0" r="0" b="0"/>
            <wp:docPr id="4"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1"/>
                    <pic:cNvPicPr>
                      <a:picLocks noChangeAspect="1" noChangeArrowheads="1"/>
                    </pic:cNvPicPr>
                  </pic:nvPicPr>
                  <pic:blipFill>
                    <a:blip r:embed="rId5"/>
                    <a:srcRect l="-4" t="-15" r="71548" b="-15"/>
                    <a:stretch>
                      <a:fillRect/>
                    </a:stretch>
                  </pic:blipFill>
                  <pic:spPr bwMode="auto">
                    <a:xfrm>
                      <a:off x="0" y="0"/>
                      <a:ext cx="867410" cy="819150"/>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p>
    <w:p>
      <w:pPr>
        <w:pStyle w:val="Normal"/>
        <w:snapToGrid w:val="false"/>
        <w:spacing w:lineRule="auto" w:line="312"/>
        <w:jc w:val="center"/>
        <w:rPr>
          <w:rFonts w:ascii="华文中宋" w:hAnsi="华文中宋" w:eastAsia="华文中宋" w:cs="华文中宋"/>
          <w:b/>
          <w:color w:val="000000"/>
          <w:sz w:val="36"/>
          <w:szCs w:val="36"/>
        </w:rPr>
      </w:pPr>
      <w:r>
        <w:rPr>
          <w:rFonts w:eastAsia="华文中宋" w:cs="华文中宋" w:ascii="华文中宋" w:hAnsi="华文中宋"/>
          <w:b/>
          <w:color w:val="000000"/>
          <w:sz w:val="36"/>
          <w:szCs w:val="36"/>
        </w:rPr>
      </w:r>
    </w:p>
    <w:p>
      <w:pPr>
        <w:pStyle w:val="Normal"/>
        <w:spacing w:lineRule="atLeast" w:line="20"/>
        <w:jc w:val="center"/>
        <w:rPr>
          <w:rFonts w:ascii="华文新魏" w:hAnsi="华文新魏" w:eastAsia="华文新魏" w:cs="宋体;SimSun" w:hint="eastAsia"/>
          <w:b/>
          <w:bCs/>
          <w:shadow/>
          <w:sz w:val="36"/>
          <w:szCs w:val="36"/>
        </w:rPr>
      </w:pPr>
      <w:bookmarkStart w:id="0" w:name="OLE_LINK2"/>
      <w:bookmarkStart w:id="1" w:name="OLE_LINK1"/>
      <w:r>
        <w:rPr>
          <w:rFonts w:ascii="华文新魏" w:hAnsi="华文新魏" w:cs="宋体;SimSun" w:hint="eastAsia" w:eastAsia="华文新魏"/>
          <w:b/>
          <w:bCs/>
          <w:shadow/>
          <w:sz w:val="36"/>
          <w:szCs w:val="36"/>
        </w:rPr>
        <w:t>中国研究生创新实践系列大赛</w:t>
      </w:r>
    </w:p>
    <w:p>
      <w:pPr>
        <w:pStyle w:val="Normal"/>
        <w:spacing w:lineRule="atLeast" w:line="20"/>
        <w:jc w:val="center"/>
        <w:rPr>
          <w:rFonts w:ascii="华文新魏" w:hAnsi="华文新魏" w:eastAsia="华文新魏" w:cs="宋体;SimSun"/>
          <w:b/>
          <w:bCs/>
          <w:shadow/>
          <w:sz w:val="44"/>
          <w:szCs w:val="44"/>
        </w:rPr>
      </w:pPr>
      <w:r>
        <w:rPr>
          <w:rFonts w:ascii="华文新魏" w:hAnsi="华文新魏" w:cs="宋体;SimSun" w:hint="eastAsia" w:eastAsia="华文新魏"/>
          <w:b/>
          <w:bCs/>
          <w:shadow/>
          <w:sz w:val="44"/>
          <w:szCs w:val="44"/>
        </w:rPr>
        <w:t xml:space="preserve"> “</w:t>
      </w:r>
      <w:r>
        <w:rPr>
          <w:rFonts w:ascii="华文新魏" w:hAnsi="华文新魏" w:cs="宋体;SimSun" w:hint="eastAsia" w:eastAsia="华文新魏"/>
          <w:b/>
          <w:bCs/>
          <w:shadow/>
          <w:sz w:val="44"/>
          <w:szCs w:val="44"/>
        </w:rPr>
        <w:t>华为杯”</w:t>
      </w:r>
      <w:bookmarkEnd w:id="0"/>
      <w:bookmarkEnd w:id="1"/>
      <w:r>
        <w:rPr>
          <w:rFonts w:ascii="华文新魏" w:hAnsi="华文新魏" w:cs="宋体;SimSun" w:hint="eastAsia" w:eastAsia="华文新魏"/>
          <w:b/>
          <w:bCs/>
          <w:shadow/>
          <w:sz w:val="44"/>
          <w:szCs w:val="44"/>
        </w:rPr>
        <w:t>第二十三届中国研究生</w:t>
      </w:r>
    </w:p>
    <w:p>
      <w:pPr>
        <w:pStyle w:val="Normal"/>
        <w:spacing w:lineRule="atLeast" w:line="20"/>
        <w:jc w:val="center"/>
        <w:rPr>
          <w:rFonts w:ascii="华文新魏" w:hAnsi="华文新魏" w:eastAsia="华文新魏" w:cs="宋体;SimSun" w:hint="eastAsia"/>
          <w:b/>
          <w:bCs/>
          <w:shadow/>
          <w:sz w:val="44"/>
          <w:szCs w:val="44"/>
        </w:rPr>
      </w:pPr>
      <w:r>
        <w:rPr>
          <w:rFonts w:ascii="华文新魏" w:hAnsi="华文新魏" w:cs="宋体;SimSun" w:hint="eastAsia" w:eastAsia="华文新魏"/>
          <w:b/>
          <w:bCs/>
          <w:shadow/>
          <w:sz w:val="44"/>
          <w:szCs w:val="44"/>
        </w:rPr>
        <w:t>数学建模竞赛</w:t>
      </w:r>
    </w:p>
    <w:p>
      <w:pPr>
        <w:pStyle w:val="Normal"/>
        <w:spacing w:lineRule="atLeast" w:line="20"/>
        <w:jc w:val="center"/>
        <w:rPr>
          <w:rFonts w:ascii="华文新魏" w:hAnsi="华文新魏" w:eastAsia="华文新魏" w:cs="宋体;SimSun" w:hint="eastAsia"/>
          <w:b/>
          <w:bCs/>
          <w:shadow/>
          <w:sz w:val="44"/>
          <w:szCs w:val="44"/>
        </w:rPr>
      </w:pPr>
      <w:r>
        <w:rPr>
          <w:rFonts w:eastAsia="华文新魏" w:cs="宋体;SimSun" w:hint="eastAsia" w:ascii="华文新魏" w:hAnsi="华文新魏"/>
          <w:b/>
          <w:bCs/>
          <w:shadow/>
          <w:sz w:val="44"/>
          <w:szCs w:val="44"/>
        </w:rPr>
      </w:r>
    </w:p>
    <w:tbl>
      <w:tblPr>
        <w:tblW w:w="8354" w:type="dxa"/>
        <w:jc w:val="center"/>
        <w:tblInd w:w="0" w:type="dxa"/>
        <w:tblLayout w:type="fixed"/>
        <w:tblCellMar>
          <w:top w:w="0" w:type="dxa"/>
          <w:start w:w="108" w:type="dxa"/>
          <w:bottom w:w="0" w:type="dxa"/>
          <w:end w:w="108" w:type="dxa"/>
        </w:tblCellMar>
      </w:tblPr>
      <w:tblGrid>
        <w:gridCol w:w="1842"/>
        <w:gridCol w:w="6512"/>
      </w:tblGrid>
      <w:tr>
        <w:trPr>
          <w:trHeight w:val="1134" w:hRule="atLeast"/>
        </w:trPr>
        <w:tc>
          <w:tcPr>
            <w:tcW w:w="1842" w:type="dxa"/>
            <w:tcBorders>
              <w:bottom w:val="single" w:sz="12" w:space="0" w:color="000000"/>
            </w:tcBorders>
            <w:vAlign w:val="bottom"/>
          </w:tcPr>
          <w:p>
            <w:pPr>
              <w:pStyle w:val="Normal"/>
              <w:spacing w:lineRule="atLeast" w:line="20"/>
              <w:rPr>
                <w:b/>
                <w:sz w:val="36"/>
                <w:szCs w:val="36"/>
              </w:rPr>
            </w:pPr>
            <w:r>
              <w:rPr>
                <w:rFonts w:hint="eastAsia"/>
                <w:b/>
                <w:sz w:val="36"/>
                <w:szCs w:val="36"/>
              </w:rPr>
              <w:t>学    校</w:t>
            </w:r>
          </w:p>
        </w:tc>
        <w:tc>
          <w:tcPr>
            <w:tcW w:w="6512" w:type="dxa"/>
            <w:tcBorders>
              <w:bottom w:val="single" w:sz="12" w:space="0" w:color="000000"/>
            </w:tcBorders>
          </w:tcPr>
          <w:p>
            <w:pPr>
              <w:pStyle w:val="Normal"/>
              <w:snapToGrid w:val="false"/>
              <w:spacing w:lineRule="atLeast" w:line="20"/>
              <w:rPr>
                <w:rFonts w:hint="eastAsia"/>
                <w:b/>
                <w:sz w:val="36"/>
                <w:szCs w:val="36"/>
              </w:rPr>
            </w:pPr>
            <w:r>
              <w:rPr>
                <w:rFonts w:hint="eastAsia"/>
                <w:b/>
                <w:sz w:val="36"/>
                <w:szCs w:val="36"/>
              </w:rPr>
            </w:r>
          </w:p>
          <w:p>
            <w:pPr>
              <w:pStyle w:val="Normal"/>
              <w:spacing w:lineRule="atLeast" w:line="20"/>
              <w:rPr>
                <w:rFonts w:hint="eastAsia"/>
                <w:b/>
                <w:sz w:val="36"/>
                <w:szCs w:val="36"/>
              </w:rPr>
            </w:pPr>
            <w:r>
              <w:rPr>
                <w:rFonts w:hint="eastAsia"/>
                <w:b/>
                <w:sz w:val="36"/>
                <w:szCs w:val="36"/>
              </w:rPr>
            </w:r>
          </w:p>
        </w:tc>
      </w:tr>
      <w:tr>
        <w:trPr>
          <w:trHeight w:val="1134" w:hRule="atLeast"/>
        </w:trPr>
        <w:tc>
          <w:tcPr>
            <w:tcW w:w="1842" w:type="dxa"/>
            <w:tcBorders>
              <w:top w:val="single" w:sz="12" w:space="0" w:color="000000"/>
              <w:bottom w:val="single" w:sz="12" w:space="0" w:color="000000"/>
            </w:tcBorders>
            <w:vAlign w:val="bottom"/>
          </w:tcPr>
          <w:p>
            <w:pPr>
              <w:pStyle w:val="Normal"/>
              <w:spacing w:lineRule="atLeast" w:line="20"/>
              <w:jc w:val="center"/>
              <w:rPr>
                <w:b/>
                <w:sz w:val="36"/>
                <w:szCs w:val="36"/>
              </w:rPr>
            </w:pPr>
            <w:r>
              <w:rPr>
                <w:rFonts w:hint="eastAsia"/>
                <w:b/>
                <w:sz w:val="36"/>
                <w:szCs w:val="36"/>
              </w:rPr>
              <w:t>参赛队号</w:t>
            </w:r>
          </w:p>
        </w:tc>
        <w:tc>
          <w:tcPr>
            <w:tcW w:w="6512" w:type="dxa"/>
            <w:tcBorders>
              <w:top w:val="single" w:sz="12" w:space="0" w:color="000000"/>
              <w:bottom w:val="single" w:sz="12" w:space="0" w:color="000000"/>
            </w:tcBorders>
          </w:tcPr>
          <w:p>
            <w:pPr>
              <w:pStyle w:val="Normal"/>
              <w:snapToGrid w:val="false"/>
              <w:spacing w:lineRule="atLeast" w:line="20"/>
              <w:rPr>
                <w:b/>
                <w:sz w:val="36"/>
                <w:szCs w:val="36"/>
              </w:rPr>
            </w:pPr>
            <w:r>
              <w:rPr>
                <w:b/>
                <w:sz w:val="36"/>
                <w:szCs w:val="36"/>
              </w:rPr>
            </w:r>
          </w:p>
        </w:tc>
      </w:tr>
      <w:tr>
        <w:trPr>
          <w:trHeight w:val="625" w:hRule="atLeast"/>
        </w:trPr>
        <w:tc>
          <w:tcPr>
            <w:tcW w:w="1842" w:type="dxa"/>
            <w:vMerge w:val="restart"/>
            <w:tcBorders>
              <w:top w:val="single" w:sz="12" w:space="0" w:color="000000"/>
            </w:tcBorders>
            <w:vAlign w:val="center"/>
          </w:tcPr>
          <w:p>
            <w:pPr>
              <w:pStyle w:val="Normal"/>
              <w:spacing w:lineRule="atLeast" w:line="20"/>
              <w:jc w:val="center"/>
              <w:rPr>
                <w:b/>
                <w:sz w:val="36"/>
                <w:szCs w:val="36"/>
              </w:rPr>
            </w:pPr>
            <w:r>
              <w:rPr>
                <w:rFonts w:hint="eastAsia"/>
                <w:b/>
                <w:sz w:val="36"/>
                <w:szCs w:val="36"/>
              </w:rPr>
              <w:t>队员姓名</w:t>
            </w:r>
          </w:p>
        </w:tc>
        <w:tc>
          <w:tcPr>
            <w:tcW w:w="6512" w:type="dxa"/>
            <w:tcBorders>
              <w:top w:val="single" w:sz="12" w:space="0" w:color="000000"/>
              <w:bottom w:val="single" w:sz="8" w:space="0" w:color="000000"/>
            </w:tcBorders>
          </w:tcPr>
          <w:p>
            <w:pPr>
              <w:pStyle w:val="Normal"/>
              <w:spacing w:lineRule="atLeast" w:line="20"/>
              <w:rPr>
                <w:b/>
                <w:sz w:val="36"/>
                <w:szCs w:val="36"/>
              </w:rPr>
            </w:pPr>
            <w:r>
              <w:rPr>
                <w:rFonts w:hint="eastAsia"/>
                <w:b/>
                <w:sz w:val="36"/>
                <w:szCs w:val="36"/>
              </w:rPr>
              <w:t>1.</w:t>
            </w:r>
          </w:p>
        </w:tc>
      </w:tr>
      <w:tr>
        <w:trPr>
          <w:trHeight w:val="625" w:hRule="atLeast"/>
        </w:trPr>
        <w:tc>
          <w:tcPr>
            <w:tcW w:w="1842" w:type="dxa"/>
            <w:vMerge w:val="continue"/>
            <w:tcBorders>
              <w:top w:val="single" w:sz="12" w:space="0" w:color="000000"/>
            </w:tcBorders>
            <w:vAlign w:val="center"/>
          </w:tcPr>
          <w:p>
            <w:pPr>
              <w:pStyle w:val="Normal"/>
              <w:snapToGrid w:val="false"/>
              <w:spacing w:lineRule="atLeast" w:line="20"/>
              <w:jc w:val="center"/>
              <w:rPr>
                <w:b/>
                <w:sz w:val="36"/>
                <w:szCs w:val="36"/>
              </w:rPr>
            </w:pPr>
            <w:r>
              <w:rPr>
                <w:b/>
                <w:sz w:val="36"/>
                <w:szCs w:val="36"/>
              </w:rPr>
            </w:r>
          </w:p>
        </w:tc>
        <w:tc>
          <w:tcPr>
            <w:tcW w:w="6512" w:type="dxa"/>
            <w:tcBorders>
              <w:top w:val="single" w:sz="8" w:space="0" w:color="000000"/>
              <w:bottom w:val="single" w:sz="8" w:space="0" w:color="000000"/>
            </w:tcBorders>
          </w:tcPr>
          <w:p>
            <w:pPr>
              <w:pStyle w:val="Normal"/>
              <w:spacing w:lineRule="atLeast" w:line="20"/>
              <w:rPr>
                <w:b/>
                <w:sz w:val="36"/>
                <w:szCs w:val="36"/>
              </w:rPr>
            </w:pPr>
            <w:r>
              <w:rPr>
                <w:rFonts w:hint="eastAsia"/>
                <w:b/>
                <w:sz w:val="36"/>
                <w:szCs w:val="36"/>
              </w:rPr>
              <w:t>2.</w:t>
            </w:r>
          </w:p>
        </w:tc>
      </w:tr>
      <w:tr>
        <w:trPr>
          <w:trHeight w:val="625" w:hRule="atLeast"/>
        </w:trPr>
        <w:tc>
          <w:tcPr>
            <w:tcW w:w="1842" w:type="dxa"/>
            <w:vMerge w:val="continue"/>
            <w:tcBorders>
              <w:top w:val="single" w:sz="12" w:space="0" w:color="000000"/>
            </w:tcBorders>
            <w:vAlign w:val="center"/>
          </w:tcPr>
          <w:p>
            <w:pPr>
              <w:pStyle w:val="Normal"/>
              <w:snapToGrid w:val="false"/>
              <w:spacing w:lineRule="atLeast" w:line="20"/>
              <w:jc w:val="center"/>
              <w:rPr>
                <w:b/>
                <w:sz w:val="36"/>
                <w:szCs w:val="36"/>
              </w:rPr>
            </w:pPr>
            <w:r>
              <w:rPr>
                <w:b/>
                <w:sz w:val="36"/>
                <w:szCs w:val="36"/>
              </w:rPr>
            </w:r>
          </w:p>
        </w:tc>
        <w:tc>
          <w:tcPr>
            <w:tcW w:w="6512" w:type="dxa"/>
            <w:tcBorders>
              <w:top w:val="single" w:sz="8" w:space="0" w:color="000000"/>
              <w:bottom w:val="single" w:sz="12" w:space="0" w:color="000000"/>
            </w:tcBorders>
          </w:tcPr>
          <w:p>
            <w:pPr>
              <w:pStyle w:val="Normal"/>
              <w:spacing w:lineRule="atLeast" w:line="20"/>
              <w:rPr>
                <w:b/>
                <w:sz w:val="36"/>
                <w:szCs w:val="36"/>
              </w:rPr>
            </w:pPr>
            <w:r>
              <w:rPr>
                <w:rFonts w:hint="eastAsia"/>
                <w:b/>
                <w:sz w:val="36"/>
                <w:szCs w:val="36"/>
              </w:rPr>
              <w:t>3.</w:t>
            </w:r>
          </w:p>
        </w:tc>
      </w:tr>
    </w:tbl>
    <w:p>
      <w:pPr>
        <w:sectPr>
          <w:footerReference w:type="default" r:id="rId6"/>
          <w:footerReference w:type="first" r:id="rId7"/>
          <w:footerReference w:type="even" r:id="rId12"/>
          <w:headerReference w:type="default" r:id="rId13"/>
          <w:headerReference w:type="first" r:id="rId14"/>
          <w:headerReference w:type="even" r:id="rId15"/>
          <w:type w:val="nextPage"/>
          <w:pgSz w:w="11906" w:h="16838"/>
          <w:pgMar w:left="1276" w:right="1274" w:gutter="0" w:header="0" w:top="1702" w:footer="992" w:bottom="1048"/>
          <w:pgNumType w:start="0" w:fmt="decimal"/>
          <w:formProt w:val="false"/>
          <w:titlePg/>
          <w:textDirection w:val="lrTb"/>
          <w:docGrid w:type="lines" w:linePitch="312" w:charSpace="0"/>
        </w:sectPr>
      </w:pPr>
    </w:p>
    <w:p>
      <w:pPr>
        <w:pStyle w:val="Title"/>
        <w:widowControl/>
      </w:pPr>
      <w:r>
        <w:t>算力约束下大语言模型的质量评价 资源配置与能力前沿预测</w:t>
      </w:r>
    </w:p>
    <w:p>
      <w:pPr>
        <w:pStyle w:val="PaperH1"/>
        <w:widowControl/>
      </w:pPr>
      <w:r>
        <w:t>摘要</w:t>
      </w:r>
    </w:p>
    <w:p>
      <w:pPr>
        <w:pStyle w:val="PaperBody"/>
        <w:widowControl/>
      </w:pPr>
      <w:r>
        <w:t>围绕数据质量、领域配比、模型规模与能力演进的递进关系，本文建立多维质量描述、来源分层标度律、支持域约束优化和能力前沿预测框架，区分附件内部估计、半合成校准与条件情景。</w:t>
      </w:r>
    </w:p>
    <w:p>
      <w:pPr>
        <w:pStyle w:val="PaperBody"/>
        <w:widowControl/>
      </w:pPr>
      <w:r>
        <w:t>针对问题一，完整检查22项质量信号，保留五维定向分位画像及等权描述摘要，将统计分歧与语义冲突分开处理，确认语义冲突为0。以17域配比的16维正交对比建立13域Loss响应，1M留出样本平均响应RMSE由0.2846降至0.2278，13域均改善；60M仅部分中心化迁移，1B迁移失败，严格凸包支持仅2/256。</w:t>
      </w:r>
    </w:p>
    <w:p>
      <w:pPr>
        <w:pStyle w:val="PaperBody"/>
        <w:widowControl/>
      </w:pPr>
      <w:r>
        <w:t>针对问题二，在附件内部拟合加性N–D幂律，衰减指数α=0.33997658、β=0.27987813。整规模留出、前向预测和双维分块宏RMSE分别约0.000146888、0.000111642、0.000114134，说明附件曲面高度规则。推导边际效用和等Loss替代式；半合成质量表45个单元斜率均为负，共同斜率为−0.361995，仅用于条件质量情景。</w:t>
      </w:r>
    </w:p>
    <w:p>
      <w:pPr>
        <w:pStyle w:val="PaperBody"/>
        <w:widowControl/>
      </w:pPr>
      <w:r>
        <w:t>针对问题三，统一题设训练、注意力和质量成本单位，先解析求解，再用数值优化核对。参考上下文2048且质量与配比收益关闭时，预算由10¹⁹增至10²²、10²⁴ FLOPs，最优(N,D)由(0.221309,7.049698)变为(5.202388,299.893)、(11.965825,299.893)，对应Loss为2.998935、2.143211、2.093379，N、D均以十亿计。平台来自统计支持上限；200组联合参数传播至51000个条件配置，并与机制情景范围分开解释。</w:t>
      </w:r>
    </w:p>
    <w:p>
      <w:pPr>
        <w:pStyle w:val="PaperBody"/>
        <w:widowControl/>
      </w:pPr>
      <w:r>
        <w:t>针对问题四，以C8六维原始得分均值的28天90%分位定义前沿。Loss与能力桥接未通过，故直接在能力分数空间预测；参数关联与调整残差分解对筛选及窗口敏感，不作因果技术归因。以2026-09-25为原点，12和24个月条件中心分别为79.76、87.13，条件模型95%区间为[61.24,90.40]、[69.58,95.57]，不同模型中心范围为52.17—83.77、52.33—97.11。最后观测距原点560天，仅有4/13周回测，两期限均为长期外推。</w:t>
      </w:r>
    </w:p>
    <w:p>
      <w:pPr>
        <w:pStyle w:val="PaperBody"/>
        <w:widowControl/>
      </w:pPr>
      <w:r>
        <w:t>本文的主要方法特点是保留多维质量含义、按来源限制跨问题结果运输，并将统计支持边界纳入资源配置。模型可用于附件范围内的可复核分析与条件比较，不能识别普适质量弹性、完整N–D因果贡献或真实算力放缓效应。</w:t>
      </w:r>
    </w:p>
    <w:p>
      <w:pPr>
        <w:pStyle w:val="PaperBody"/>
        <w:widowControl/>
      </w:pPr>
      <w:r>
        <w:t>关键词：数据质量；领域配比；标度律；约束优化；能力前沿；不确定性</w:t>
      </w:r>
    </w:p>
    <w:p>
      <w:r>
        <w:br w:type="page"/>
      </w:r>
    </w:p>
    <w:p>
      <w:pPr>
        <w:pStyle w:val="PaperH1"/>
        <w:widowControl/>
      </w:pPr>
      <w:r>
        <w:t>1 问题重述</w:t>
      </w:r>
    </w:p>
    <w:p>
      <w:pPr>
        <w:pStyle w:val="PaperBody"/>
        <w:widowControl/>
      </w:pPr>
      <w:r>
        <w:t>大语言模型训练中的参数量、数据量、数据质量与领域配比共同影响损失和多任务表现。在固定算力下，增加某一种资源会挤占其他投入；上下文长度进一步改变注意力开销。题目要求从数据价值出发，建立可检验的数量关系，再研究资源配置和未来能力前沿。</w:t>
      </w:r>
    </w:p>
    <w:p>
      <w:pPr>
        <w:pStyle w:val="PaperBody"/>
        <w:widowControl/>
      </w:pPr>
      <w:r>
        <w:t>问题一要求处理全部质量信号、分析指标冲突并验证领域配比与交叉熵Loss的关系；问题二要求建立包含规模、质量和配比的广义标度律，解释边际与替代关系；问题三要求在三类成本约束下优化资源并识别结构转移；问题四要求分析规模与非规模贡献，在算力增长放缓情景中给出未来12或24个月能力预测及不确定性。四问逐步衔接，但衔接必须同时满足数据量尺和适用范围的条件。</w:t>
      </w:r>
    </w:p>
    <w:p>
      <w:pPr>
        <w:pStyle w:val="PaperH1"/>
        <w:widowControl/>
      </w:pPr>
      <w:r>
        <w:t>2 问题分析</w:t>
      </w:r>
    </w:p>
    <w:p>
      <w:pPr>
        <w:pStyle w:val="PaperBody"/>
        <w:widowControl/>
      </w:pPr>
      <w:r>
        <w:t>加性幂律可作为规模与数据量权衡的简洁起点[1]，但不同附件的Loss未必来自相同验证集。质量标注是文档级，配比实验是训练运行级，能力评测又是模型及任务级。如果缺少共同键和量尺，直接拼接会把来源差异误认为质量收益或技术进步。</w:t>
      </w:r>
    </w:p>
    <w:p>
      <w:pPr>
        <w:pStyle w:val="PaperBody"/>
        <w:widowControl/>
      </w:pPr>
      <w:r>
        <w:t>因此先建立描述质量和配比响应，再在B1内部估计N–D曲面。质量与配比的跨来源作用作为单独情景，默认允许其贡献为零。资源优化限定在统计支持范围内，以活跃约束变化定义结构转移。最后先检验Loss–能力桥接；桥接不可靠时，能力前沿直接由同口径评测构造，不能把前面算出的Loss机械换算为未来榜单得分。</w:t>
      </w:r>
    </w:p>
    <w:p>
      <w:pPr>
        <w:pStyle w:val="PaperBody"/>
        <w:widowControl/>
      </w:pPr>
      <w:r>
        <w:t>全文同时区分三类陈述：已经观察或验证的附件内关系、题目半合成数据中的校准关系、增加运输或未来机制假设后得到的条件结果。负结果决定哪些衔接不能成立，也是四问解答的一部分。</w:t>
      </w:r>
    </w:p>
    <w:p>
      <w:pPr>
        <w:pStyle w:val="PaperH1"/>
        <w:widowControl/>
      </w:pPr>
      <w:r>
        <w:t>3 符号说明与模型假设</w:t>
      </w:r>
    </w:p>
    <w:p>
      <w:pPr>
        <w:pStyle w:val="PaperBody"/>
        <w:widowControl/>
      </w:pPr>
      <w:r>
        <w:t>表1给出统一符号。除题设原始成本在推导中明确转换外，所有章节的N、D均采用十亿单位；不同来源Loss不视为自动同量尺。时间在参数关联回归中以年计，在动态预测中以周计，分别注明。</w:t>
      </w:r>
    </w:p>
    <w:p>
      <w:pPr>
        <w:pStyle w:val="PaperCaption"/>
        <w:keepNext/>
        <w:widowControl/>
      </w:pPr>
      <w:r>
        <w:t>表1 主要符号与单位</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符号</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定义</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单位或范围</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N，D</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参数量、训练token数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十亿参数、十亿token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C，c</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总算力预算、C/10¹⁸</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FLOPs、归一化预算</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L_​ctx，η</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外生上下文、注意力系数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token、0.0002/token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p，H</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17域配比、正交对比基</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单纯形、17×16矩阵</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u，DQ0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五维描述分位、等权摘要</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[0,1]，不等同Q</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Q，Q0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半合成质量刻度、参考值</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[0.5,1]，Q0=0.5</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L_​m，L_​B</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A的领域Loss、B1的Loss</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各来源原表量尺</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L∞，A，B</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幂律截距和两个幅度</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对应十亿单位的Loss幅度</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α，β</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N、D衰减指数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无量纲</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h_​Q，k_​s</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质量收益及配比运输系数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情景系数，默认0</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μ</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归一预算的乘子</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Loss/10¹⁸ FLOPs</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y，F，S，R</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能力分、前沿及两个分量</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0—100分量尺；分量可越界</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θ_​N</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能力对log N的关联系数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分/log N</w:t>
            </w:r>
          </w:p>
        </w:tc>
      </w:tr>
    </w:tbl>
    <w:p>
      <w:pPr>
        <w:pStyle w:val="PaperBody"/>
        <w:widowControl/>
      </w:pPr>
      <w:r>
        <w:t>假设一：B1内部给定的N、D与Loss能用于同表关系估计。依据是已有网格、轨迹及数值一致性审计；限制是原始外部运行和量尺锚未完全恢复，因此不据此主张普适定律。</w:t>
      </w:r>
    </w:p>
    <w:p>
      <w:pPr>
        <w:pStyle w:val="PaperBody"/>
        <w:widowControl/>
      </w:pPr>
      <w:r>
        <w:t>假设二：五个定向质量信号在当前标注体系中可描述对应维度，并以固定训练参考作比较。其余信号保留用途与尺度限制；假设不包含“所有文本、语言和领域共享真实质量排序”。</w:t>
      </w:r>
    </w:p>
    <w:p>
      <w:pPr>
        <w:pStyle w:val="PaperBody"/>
        <w:widowControl/>
      </w:pPr>
      <w:r>
        <w:t>假设三：局部配比响应可用线性单纯形对比近似。该假设由1M留出数据检验，规模迁移失败时停止运输，不补造跨规模系数。</w:t>
      </w:r>
    </w:p>
    <w:p>
      <w:pPr>
        <w:pStyle w:val="PaperBody"/>
        <w:widowControl/>
      </w:pPr>
      <w:r>
        <w:t>假设四：给定上下文和质量成本函数时，题设算力代理能够定义条件优化问题；支持边界作为保守统计约束，预算允许闲置。真实供应、货币成本和长上下文收益没有被这一假设识别。</w:t>
      </w:r>
    </w:p>
    <w:p>
      <w:pPr>
        <w:pStyle w:val="PaperBody"/>
        <w:widowControl/>
      </w:pPr>
      <w:r>
        <w:t>假设五：相同任务组合与筛选规则下，历史高分位能力可作为描述对象；动态外推另需趋势、残差局部平稳及假定扩散规则。观测陈旧、短序列和家族组成变化可能破坏这些假设，故未来结果带条件区间及独立模型范围。</w:t>
      </w:r>
    </w:p>
    <w:p>
      <w:pPr>
        <w:pStyle w:val="PaperH1"/>
        <w:widowControl/>
      </w:pPr>
      <w:r>
        <w:t>4 数据预处理与证据范围</w:t>
      </w:r>
    </w:p>
    <w:p>
      <w:pPr>
        <w:pStyle w:val="PaperBody"/>
        <w:widowControl/>
      </w:pPr>
      <w:r>
        <w:t>表2按分析粒度组织附件。原件保持只读；预处理保存输入哈希、运行键和有效记录，不用后续验证误差倒推指标方向。质量表按ID去重后比较扩展样本；配方表按索引匹配；B1保留完整轨迹并按轨迹划分验证；能力表严格核对模型ID、参数、日期和任务量尺。</w:t>
      </w:r>
    </w:p>
    <w:p>
      <w:pPr>
        <w:pStyle w:val="PaperCaption"/>
        <w:keepNext/>
        <w:widowControl/>
      </w:pPr>
      <w:r>
        <w:t>表2 数据用途与限制</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资料</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主要用途</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关键边界</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A1—A3 全量22信号</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质量分布、分歧和扩展比较</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文档标注非训练干预</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A4—A11 配方与Loss</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训练及同尺度/跨尺度验证</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17输入域、13响应域；无同运行Q</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A12—A16</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估算外推及域映射参考</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估算Loss不是独立真值</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B1及B2/B4/B5</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源内拟合及分来源检查</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轨迹相关，绝对Loss不合并</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B6/B7及B8</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半合成质量校准</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B6嵌套于B7；B8机制冲突隔离</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B9/B10及B11/B12</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大规模范围与来源说明</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估算/元数据不升级成验证</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C1/C2/C3/C9</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身份、筛选、日期及历史审计</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异口径历史不拼接</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C4/C7</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规模字段和上下文情景</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稀疏D、估计量及架构上限</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C5/C6/C8/C10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桥接、逐任务聚合及说明</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桥接失败；raw6量尺独立</w:t>
            </w:r>
          </w:p>
        </w:tc>
      </w:tr>
    </w:tbl>
    <w:p>
      <w:pPr>
        <w:pStyle w:val="PaperBody"/>
        <w:widowControl/>
      </w:pPr>
      <w:r>
        <w:t>数据说明中的页边浅色干扰文本不作为题目定义或模型指令，只采用可见正文并与字段、原件哈希核对。无法辨明生成机制的字段保留不确定标记，不为了让结果完整而插补训练量或翻转质量方向。</w:t>
      </w:r>
    </w:p>
    <w:p>
      <w:pPr>
        <w:pStyle w:val="PaperBody"/>
        <w:widowControl/>
      </w:pPr>
      <w:r>
        <w:t>AI辅助使用说明：本稿的结果核对、文字整合及排版代码使用Codex辅助，当前会话标识为GPT-6，开发机构为OpenAI；版本发布日期未获独立核验。历史阶段工具的准确版本与日期仍需参赛队依据原始使用记录补充，不能由本稿代为推定。机器计算结果按冻结产物逐项引用；参赛队仍须理解模型、复核表达并完成自己的表述。此说明依据随题提供的AI使用规定保留，不包含参赛者身份。</w:t>
      </w:r>
    </w:p>
    <w:p>
      <w:pPr>
        <w:pStyle w:val="PaperH1"/>
        <w:widowControl/>
      </w:pPr>
      <w:r>
        <w:t>5 问题一 多维质量评价与领域配比建模</w:t>
      </w:r>
    </w:p>
    <w:p>
      <w:pPr>
        <w:pStyle w:val="PaperH2"/>
        <w:widowControl/>
      </w:pPr>
      <w:r>
        <w:t>5.1 从完整质量画像到可解释的描述坐标</w:t>
      </w:r>
    </w:p>
    <w:p>
      <w:pPr>
        <w:pStyle w:val="PaperBody"/>
        <w:widowControl/>
      </w:pPr>
      <w:r>
        <w:t>数据质量同时涉及教育价值、可读性、广告、内容用途和文本形态。先检查指标的含义，再统一有依据的方向，可以避免把数学变换误当作质量判断。对 A1—A3 的 272505 条记录保留全部 22 项信号；去除跨表重复计数后为 261086 个不同文本 ID。列表型指标保留原分量，同时生成连续描述值：教育价值取原评分，流畅度和无广告程度分别取正负类别的 logit 差，清洁度和可读性取 softmax 概率加权等级。类别最大值编码另外用于敏感性检查。</w:t>
      </w:r>
    </w:p>
    <w:p>
      <w:pPr>
        <w:pStyle w:val="PaperBody"/>
        <w:widowControl/>
      </w:pPr>
      <w:r>
        <w:t>这五项构成“数值越高、对应描述越好”的主坐标。其余指标仍进入完整画像：词数和句数用于长度分析；推理复杂度、专业性和文本形态依赖用途；QuRating 保留四个面向；DSIR 保留为目标域相似性及冗余诊断。题面要求使用全部信号，并不使尚未核实的方向自动成立。因此不强行将其余 17 项翻转后加入同一平均分。完整字段定义、方向与使用方式列于附录 A。</w:t>
      </w:r>
    </w:p>
    <w:p>
      <w:pPr>
        <w:pStyle w:val="PaperBody"/>
        <w:widowControl/>
      </w:pPr>
      <w:r>
        <w:t>令 x_ij 为文本 i 的第 j 个已定向连续信号，T_j 为 A1 固定训练参考中该信号的有效值集合。用固定经验分布将不同量纲映射为分位坐标，缺失值保留缺失标记。五维均完整时才报告标量摘要，域均值按各信号的有效文本分别计算并保留有效样本数。</w:t>
      </w:r>
    </w:p>
    <w:p>
      <w:pPr>
        <w:pStyle w:val="PaperEquation"/>
        <w:keepNext w:val="0"/>
        <w:widowControl/>
        <w:spacing w:before="100" w:after="100"/>
      </w:pPr>
      <m:oMath xmlns:m="http://schemas.openxmlformats.org/officeDocument/2006/math" xmlns:mml="http://www.w3.org/1998/Math/MathML">
        <m:sSub>
          <m:e>
            <m:r>
              <m:t>u</m:t>
            </m:r>
          </m:e>
          <m:sub>
            <m:r>
              <m:t>ij</m:t>
            </m:r>
          </m:sub>
        </m:sSub>
        <m:r>
          <m:t>=</m:t>
        </m:r>
        <m:sSub>
          <m:e>
            <m:limUpp>
              <m:e>
                <m:r>
                  <m:t>F</m:t>
                </m:r>
              </m:e>
              <m:lim>
                <m:r>
                  <m:t>^</m:t>
                </m:r>
              </m:lim>
            </m:limUpp>
          </m:e>
          <m:sub>
            <m:r>
              <m:t>j,T</m:t>
            </m:r>
          </m:sub>
        </m:sSub>
        <m:r>
          <m:t>(</m:t>
        </m:r>
        <m:sSub>
          <m:e>
            <m:r>
              <m:t>x</m:t>
            </m:r>
          </m:e>
          <m:sub>
            <m:r>
              <m:t>ij</m:t>
            </m:r>
          </m:sub>
        </m:sSub>
        <m:r>
          <m:t>),</m:t>
        </m:r>
        <m:sSub>
          <m:e>
            <m:r>
              <m:rPr>
                <m:sty m:val="p"/>
              </m:rPr>
              <m:t>DQ</m:t>
            </m:r>
            <m:r>
              <m:t>0</m:t>
            </m:r>
          </m:e>
          <m:sub>
            <m:r>
              <m:t>i</m:t>
            </m:r>
          </m:sub>
        </m:sSub>
        <m:r>
          <m:t>=</m:t>
        </m:r>
        <m:f>
          <m:fPr>
            <m:type m:val="bar"/>
          </m:fPr>
          <m:num>
            <m:r>
              <m:t>1</m:t>
            </m:r>
          </m:num>
          <m:den>
            <m:r>
              <m:t>5</m:t>
            </m:r>
          </m:den>
        </m:f>
        <m:nary>
          <m:naryPr>
            <m:chr m:val="∑"/>
            <m:limLoc m:val="subSup"/>
            <m:grow m:val="1"/>
            <m:subHide m:val="off"/>
            <m:supHide m:val="off"/>
          </m:naryPr>
          <m:sub>
            <m:r>
              <m:t>j=1</m:t>
            </m:r>
          </m:sub>
          <m:sup>
            <m:r>
              <m:t>5</m:t>
            </m:r>
          </m:sup>
          <m:e>
            <m:sSub>
              <m:e>
                <m:r>
                  <m:t>u</m:t>
                </m:r>
              </m:e>
              <m:sub>
                <m:r>
                  <m:t>ij</m:t>
                </m:r>
              </m:sub>
            </m:sSub>
          </m:e>
        </m:nary>
        <m:r>
          <m:t>.</m:t>
        </m:r>
      </m:oMath>
      <w:r>
        <w:t xml:space="preserve">    （1）</w:t>
      </w:r>
    </w:p>
    <w:p>
      <w:pPr>
        <w:pStyle w:val="PaperBody"/>
        <w:widowControl/>
      </w:pPr>
      <w:r>
        <w:t>这里参考分布按“小于该值的数量加上等于该值数量的一半”除以有效参考数计算，故并列值取中分位。DQ0 是透明的描述性摘要，不能代替五维质量剖面，也不等同后文半合成表中的 Q。参考分布仅由 A1 训练部分确定，不用 Loss 决定方向或权重。对领域 d 的文档集合 I_d，定义逐维均值，并同时展示中位数和分位分布。</w:t>
      </w:r>
    </w:p>
    <w:p>
      <w:pPr>
        <w:pStyle w:val="PaperEquation"/>
        <w:keepNext w:val="0"/>
        <w:widowControl/>
        <w:spacing w:before="100" w:after="100"/>
      </w:pPr>
      <m:oMath xmlns:m="http://schemas.openxmlformats.org/officeDocument/2006/math" xmlns:mml="http://www.w3.org/1998/Math/MathML">
        <m:sSub>
          <m:e>
            <m:acc>
              <m:accPr>
                <m:chr m:val="―"/>
              </m:accPr>
              <m:e>
                <m:r>
                  <m:t>u</m:t>
                </m:r>
              </m:e>
            </m:acc>
          </m:e>
          <m:sub>
            <m:r>
              <m:t>dj</m:t>
            </m:r>
          </m:sub>
        </m:sSub>
        <m:r>
          <m:t>=</m:t>
        </m:r>
        <m:f>
          <m:fPr>
            <m:type m:val="bar"/>
          </m:fPr>
          <m:num>
            <m:r>
              <m:t>1</m:t>
            </m:r>
          </m:num>
          <m:den>
            <m:r>
              <m:t>|</m:t>
            </m:r>
            <m:sSub>
              <m:e>
                <m:r>
                  <m:t>I</m:t>
                </m:r>
              </m:e>
              <m:sub>
                <m:r>
                  <m:t>dj</m:t>
                </m:r>
              </m:sub>
            </m:sSub>
            <m:r>
              <m:t>|</m:t>
            </m:r>
          </m:den>
        </m:f>
        <m:nary>
          <m:naryPr>
            <m:chr m:val="∑"/>
            <m:limLoc m:val="subSup"/>
            <m:grow m:val="1"/>
            <m:subHide m:val="off"/>
            <m:supHide m:val="on"/>
          </m:naryPr>
          <m:sub>
            <m:r>
              <m:t>i∈</m:t>
            </m:r>
            <m:sSub>
              <m:e>
                <m:r>
                  <m:t>I</m:t>
                </m:r>
              </m:e>
              <m:sub>
                <m:r>
                  <m:t>dj</m:t>
                </m:r>
              </m:sub>
            </m:sSub>
          </m:sub>
          <m:sup/>
          <m:e>
            <m:sSub>
              <m:e>
                <m:r>
                  <m:t>u</m:t>
                </m:r>
              </m:e>
              <m:sub>
                <m:r>
                  <m:t>ij</m:t>
                </m:r>
              </m:sub>
            </m:sSub>
          </m:e>
        </m:nary>
        <m:r>
          <m:t>,</m:t>
        </m:r>
        <m:sSub>
          <m:e>
            <m:r>
              <m:t>I</m:t>
            </m:r>
          </m:e>
          <m:sub>
            <m:r>
              <m:t>dj</m:t>
            </m:r>
          </m:sub>
        </m:sSub>
        <m:r>
          <m:t>={i∈</m:t>
        </m:r>
        <m:sSub>
          <m:e>
            <m:r>
              <m:t>I</m:t>
            </m:r>
          </m:e>
          <m:sub>
            <m:r>
              <m:t>d</m:t>
            </m:r>
          </m:sub>
        </m:sSub>
        <m:r>
          <m:t>:</m:t>
        </m:r>
        <m:sSub>
          <m:e>
            <m:r>
              <m:t>u</m:t>
            </m:r>
          </m:e>
          <m:sub>
            <m:r>
              <m:t>ij</m:t>
            </m:r>
          </m:sub>
        </m:sSub>
        <m:r>
          <m:rPr>
            <m:nor/>
          </m:rPr>
          <m:t>有效</m:t>
        </m:r>
        <m:r>
          <m:t>}.</m:t>
        </m:r>
      </m:oMath>
      <w:r>
        <w:t xml:space="preserve">    （2）</w:t>
      </w:r>
    </w:p>
    <w:p>
      <w:pPr>
        <w:pStyle w:val="PaperBody"/>
        <w:widowControl/>
      </w:pPr>
      <w:r>
        <w:t>语料总体画像可按实际文本数对领域均值加权；若应用要求领域等权，则另报等权平均，不能把两种权重混称同一语料质量。抽样集与扩展集比较时先剔除重复 ID。图1给出五维域画像。A1 中 arxiv 的五项平均相对分位约为 0.840、0.752、0.690、0.865、0.807，非重叠扩展约为 0.834、0.748、0.682、0.864、0.806；github 的抽样与扩展画像也接近。这支持该标注体系内的描述复现，不能据此推出独立训练干预效果。</w:t>
      </w:r>
    </w:p>
    <w:p>
      <w:pPr>
        <w:pStyle w:val="PaperCaption"/>
        <w:keepNext/>
        <w:widowControl/>
      </w:pPr>
      <w:r>
        <w:drawing>
          <wp:inline xmlns:a="http://schemas.openxmlformats.org/drawingml/2006/main">
            <wp:extent cx="5941060" cy="3805776"/>
            <wp:docPr id="5" name="Picture 5"/>
            <wp:cNvGraphicFramePr>
              <a:graphicFrameLocks noChangeAspect="1"/>
            </wp:cNvGraphicFramePr>
            <a:graphic>
              <a:graphicData uri="http://schemas.openxmlformats.org/drawingml/2006/picture">
                <pic:pic>
                  <pic:nvPicPr>
                    <pic:cNvPr id="0" name="FIG-Q1-R4-001_core_domain_profile.png"/>
                    <pic:cNvPicPr/>
                  </pic:nvPicPr>
                  <pic:blipFill>
                    <a:blip r:embed="rId18"/>
                    <a:stretch>
                      <a:fillRect/>
                    </a:stretch>
                  </pic:blipFill>
                  <pic:spPr>
                    <a:xfrm>
                      <a:off x="0" y="0"/>
                      <a:ext cx="5941060" cy="3805776"/>
                    </a:xfrm>
                    <a:prstGeom prst="rect"/>
                  </pic:spPr>
                </pic:pic>
              </a:graphicData>
            </a:graphic>
          </wp:inline>
        </w:drawing>
      </w:r>
    </w:p>
    <w:p>
      <w:pPr>
        <w:pStyle w:val="PaperCaption"/>
        <w:widowControl/>
      </w:pPr>
      <w:r>
        <w:t>图1 五维质量在抽样及扩展领域中的描述画像。横向比较依赖相同参考分布，不能解释为真实训练收益排序。</w:t>
      </w:r>
    </w:p>
    <w:p>
      <w:pPr>
        <w:pStyle w:val="PaperBody"/>
        <w:widowControl/>
      </w:pPr>
      <w:r>
        <w:t>五项主坐标的第一主成分仅解释约 48.11% 的方差；汇总样本中“无广告”独立成组的结构只在九个分层中的三个复现。因此采用多维主表示，保留 DQ0 作便于交流的参考。DSIR 三列高度重复且与文本长度强相关，不将其算作三份独立质量证据。不同语言和代码用途也会改变英语流畅度的适用性，完整画像比无条件标量更忠实于资料。</w:t>
      </w:r>
    </w:p>
    <w:p>
      <w:pPr>
        <w:pStyle w:val="PaperH2"/>
        <w:widowControl/>
      </w:pPr>
      <w:r>
        <w:t>5.2 区分语义冲突与统计分歧</w:t>
      </w:r>
    </w:p>
    <w:p>
      <w:pPr>
        <w:pStyle w:val="PaperBody"/>
        <w:widowControl/>
      </w:pPr>
      <w:r>
        <w:t>语义冲突是两个质量目标在同一用途下存在得到证据支持的真实取舍；统计分歧只是两个已定向信号对同一文本的排序不一致。二者不能仅靠负相关互相替代。对同一领域内不同文本 ID 计算中秩分位 v_ij，以 τ=0.80 定义极端统计分歧率，并以 0.75、0.90 作阈值敏感性检查。</w:t>
      </w:r>
    </w:p>
    <w:p>
      <w:pPr>
        <w:pStyle w:val="PaperEquation"/>
        <w:keepNext/>
        <w:widowControl/>
        <w:spacing w:before="100" w:after="100"/>
      </w:pPr>
      <m:oMath xmlns:m="http://schemas.openxmlformats.org/officeDocument/2006/math" xmlns:mml="http://www.w3.org/1998/Math/MathML">
        <m:sSub>
          <m:e>
            <m:r>
              <m:t>C</m:t>
            </m:r>
          </m:e>
          <m:sub>
            <m:r>
              <m:t>jk,d</m:t>
            </m:r>
          </m:sub>
        </m:sSub>
        <m:r>
          <m:t>(τ)=</m:t>
        </m:r>
        <m:f>
          <m:fPr>
            <m:type m:val="bar"/>
          </m:fPr>
          <m:num>
            <m:r>
              <m:t>1</m:t>
            </m:r>
          </m:num>
          <m:den>
            <m:sSub>
              <m:e>
                <m:r>
                  <m:t>n</m:t>
                </m:r>
              </m:e>
              <m:sub>
                <m:r>
                  <m:t>d</m:t>
                </m:r>
              </m:sub>
            </m:sSub>
          </m:den>
        </m:f>
        <m:nary>
          <m:naryPr>
            <m:chr m:val="∑"/>
            <m:limLoc m:val="subSup"/>
            <m:grow m:val="1"/>
            <m:subHide m:val="off"/>
            <m:supHide m:val="on"/>
          </m:naryPr>
          <m:sub>
            <m:r>
              <m:t>i∈</m:t>
            </m:r>
            <m:sSub>
              <m:e>
                <m:r>
                  <m:t>I</m:t>
                </m:r>
              </m:e>
              <m:sub>
                <m:r>
                  <m:t>d</m:t>
                </m:r>
              </m:sub>
            </m:sSub>
          </m:sub>
          <m:sup/>
          <m:e>
            <m:sSub>
              <m:e>
                <m:r>
                  <m:t>J</m:t>
                </m:r>
              </m:e>
              <m:sub>
                <m:r>
                  <m:t>ijk</m:t>
                </m:r>
              </m:sub>
            </m:sSub>
          </m:e>
        </m:nary>
      </m:oMath>
    </w:p>
    <w:p>
      <w:pPr>
        <w:pStyle w:val="PaperEquation"/>
        <w:keepNext/>
        <w:widowControl/>
        <w:spacing w:before="100" w:after="100"/>
      </w:pPr>
      <m:oMath xmlns:m="http://schemas.openxmlformats.org/officeDocument/2006/math" xmlns:mml="http://www.w3.org/1998/Math/MathML">
        <m:sSub>
          <m:e>
            <m:r>
              <m:t>J</m:t>
            </m:r>
          </m:e>
          <m:sub>
            <m:r>
              <m:t>ijk</m:t>
            </m:r>
          </m:sub>
        </m:sSub>
        <m:r>
          <m:t>=</m:t>
        </m:r>
        <m:r>
          <m:rPr>
            <m:sty m:val="b"/>
          </m:rPr>
          <m:t>1</m:t>
        </m:r>
        <m:r>
          <m:t>{(</m:t>
        </m:r>
        <m:sSub>
          <m:e>
            <m:r>
              <m:t>v</m:t>
            </m:r>
          </m:e>
          <m:sub>
            <m:r>
              <m:t>ij</m:t>
            </m:r>
          </m:sub>
        </m:sSub>
        <m:r>
          <m:t>≥τ,</m:t>
        </m:r>
        <m:r>
          <m:rPr>
            <m:nor/>
          </m:rPr>
          <m:t> </m:t>
        </m:r>
        <m:sSub>
          <m:e>
            <m:r>
              <m:t>v</m:t>
            </m:r>
          </m:e>
          <m:sub>
            <m:r>
              <m:t>ik</m:t>
            </m:r>
          </m:sub>
        </m:sSub>
        <m:r>
          <m:t>≤1−τ)</m:t>
        </m:r>
      </m:oMath>
    </w:p>
    <w:p>
      <w:pPr>
        <w:pStyle w:val="PaperEquation"/>
        <w:keepNext w:val="0"/>
        <w:widowControl/>
        <w:spacing w:before="100" w:after="100"/>
      </w:pPr>
      <m:oMath xmlns:m="http://schemas.openxmlformats.org/officeDocument/2006/math" xmlns:mml="http://www.w3.org/1998/Math/MathML">
        <m:r>
          <m:rPr>
            <m:sty m:val="p"/>
          </m:rPr>
          <m:t>or</m:t>
        </m:r>
        <m:r>
          <m:rPr>
            <m:nor/>
          </m:rPr>
          <m:t> </m:t>
        </m:r>
        <m:r>
          <m:t>(</m:t>
        </m:r>
        <m:sSub>
          <m:e>
            <m:r>
              <m:t>v</m:t>
            </m:r>
          </m:e>
          <m:sub>
            <m:r>
              <m:t>ik</m:t>
            </m:r>
          </m:sub>
        </m:sSub>
        <m:r>
          <m:t>≥τ,</m:t>
        </m:r>
        <m:r>
          <m:rPr>
            <m:nor/>
          </m:rPr>
          <m:t> </m:t>
        </m:r>
        <m:sSub>
          <m:e>
            <m:r>
              <m:t>v</m:t>
            </m:r>
          </m:e>
          <m:sub>
            <m:r>
              <m:t>ij</m:t>
            </m:r>
          </m:sub>
        </m:sSub>
        <m:r>
          <m:t>≤1−τ)}</m:t>
        </m:r>
      </m:oMath>
      <w:r>
        <w:t xml:space="preserve">    （3）</w:t>
      </w:r>
    </w:p>
    <w:p>
      <w:pPr>
        <w:pStyle w:val="PaperBody"/>
        <w:widowControl/>
      </w:pPr>
      <w:r>
        <w:t>此处 v 使用分析层自身的中秩，区别于式（1）用于跨层比较的固定参考分位 u。另以两指标均不并列的文本对计算排序逆序比例，检查结论是否被大量并列类别主导。扩展检验按原定义进行，不根据结果再修改质量权重。</w:t>
      </w:r>
    </w:p>
    <w:p>
      <w:pPr>
        <w:pStyle w:val="PaperBody"/>
        <w:widowControl/>
      </w:pPr>
      <w:r>
        <w:t>42 项候选中，确认语义冲突为 0，统计分歧为 7，冗余候选为 5，尺度伪象候选为 12，域别反转为 3，未解决为 15。以可读性与无广告程度为例，τ=0.80 时 A1 的极端分歧率为 8.811%，A2、A3 非重叠扩展分别为 13.332%、8.676%。存在分歧且幅度随领域变化，但不足以断言“可读性越好必然广告越多”。对分歧的处理是保留两个坐标、披露用途和编码敏感性，而非抵消、删除或虚构一个冲突惩罚分。</w:t>
      </w:r>
    </w:p>
    <w:p>
      <w:pPr>
        <w:pStyle w:val="PaperBody"/>
        <w:widowControl/>
      </w:pPr>
      <w:r>
        <w:t>原文检查还解释了 A1 中部分 n-gram 比例超过 100 的现象：重复 n-gram 重叠计数字符后，分子可以大于全文字符数。对应记录保留原值，不机械裁剪。A2、A3 的全部生成链未被独立核实，这一解释不外推为所有异常都已经消除。</w:t>
      </w:r>
    </w:p>
    <w:p>
      <w:pPr>
        <w:pStyle w:val="PaperH2"/>
        <w:widowControl/>
      </w:pPr>
      <w:r>
        <w:t>5.3 单纯形约束下的配比响应</w:t>
      </w:r>
    </w:p>
    <w:p>
      <w:pPr>
        <w:pStyle w:val="PaperBody"/>
        <w:widowControl/>
      </w:pPr>
      <w:r>
        <w:t>质量标注表与训练配方表缺少同运行质量配对，故分别建立描述质量与配比预测两条证据链。A4/A5 按运行索引匹配得到 512 组训练配方。p 为 17 维非负配比，分量和为 1；各分量不独立增加。成分数据分析强调这种闭合约束[2]。本题零配比较多，使用欧氏单纯形的正交对比，不使用需要处理零值的对数比坐标，也不把它称为 ILR。</w:t>
      </w:r>
    </w:p>
    <w:p>
      <w:pPr>
        <w:pStyle w:val="PaperBody"/>
        <w:widowControl/>
      </w:pPr>
      <w:r>
        <w:t>令 H 为固定的 17×16 Helmert 正交基，训练均值为 p̄。以列向量约定写出模型 M1：</w:t>
      </w:r>
    </w:p>
    <w:p>
      <w:pPr>
        <w:pStyle w:val="PaperEquation"/>
        <w:keepNext/>
        <w:widowControl/>
        <w:spacing w:before="100" w:after="100"/>
      </w:pPr>
      <m:oMath xmlns:m="http://schemas.openxmlformats.org/officeDocument/2006/math" xmlns:mml="http://www.w3.org/1998/Math/MathML">
        <m:sSup>
          <m:e>
            <m:r>
              <m:t>H</m:t>
            </m:r>
          </m:e>
          <m:sup>
            <m:r>
              <m:rPr>
                <m:scr m:val="sans-serif"/>
                <m:sty m:val="p"/>
              </m:rPr>
              <m:t>T</m:t>
            </m:r>
          </m:sup>
        </m:sSup>
        <m:r>
          <m:t>H=</m:t>
        </m:r>
        <m:sSub>
          <m:e>
            <m:r>
              <m:t>I</m:t>
            </m:r>
          </m:e>
          <m:sub>
            <m:r>
              <m:t>16</m:t>
            </m:r>
          </m:sub>
        </m:sSub>
        <m:r>
          <m:t>,</m:t>
        </m:r>
        <m:sSup>
          <m:e>
            <m:r>
              <m:t>H</m:t>
            </m:r>
          </m:e>
          <m:sup>
            <m:r>
              <m:rPr>
                <m:scr m:val="sans-serif"/>
                <m:sty m:val="p"/>
              </m:rPr>
              <m:t>T</m:t>
            </m:r>
          </m:sup>
        </m:sSup>
        <m:r>
          <m:rPr>
            <m:sty m:val="b"/>
          </m:rPr>
          <m:t>1</m:t>
        </m:r>
        <m:r>
          <m:t>=0,</m:t>
        </m:r>
        <m:r>
          <m:t>z=</m:t>
        </m:r>
        <m:sSup>
          <m:e>
            <m:r>
              <m:t>H</m:t>
            </m:r>
          </m:e>
          <m:sup>
            <m:r>
              <m:rPr>
                <m:scr m:val="sans-serif"/>
                <m:sty m:val="p"/>
              </m:rPr>
              <m:t>T</m:t>
            </m:r>
          </m:sup>
        </m:sSup>
        <m:r>
          <m:t>(p−</m:t>
        </m:r>
        <m:acc>
          <m:accPr>
            <m:chr m:val="―"/>
          </m:accPr>
          <m:e>
            <m:r>
              <m:t>p</m:t>
            </m:r>
          </m:e>
        </m:acc>
        <m:r>
          <m:t>)</m:t>
        </m:r>
      </m:oMath>
    </w:p>
    <w:p>
      <w:pPr>
        <w:pStyle w:val="PaperEquation"/>
        <w:keepNext w:val="0"/>
        <w:widowControl/>
        <w:spacing w:before="100" w:after="100"/>
      </w:pPr>
      <m:oMath xmlns:m="http://schemas.openxmlformats.org/officeDocument/2006/math" xmlns:mml="http://www.w3.org/1998/Math/MathML">
        <m:sSub>
          <m:e>
            <m:limUpp>
              <m:e>
                <m:r>
                  <m:t>L</m:t>
                </m:r>
              </m:e>
              <m:lim>
                <m:r>
                  <m:t>^</m:t>
                </m:r>
              </m:lim>
            </m:limUpp>
          </m:e>
          <m:sub>
            <m:r>
              <m:t>m</m:t>
            </m:r>
          </m:sub>
        </m:sSub>
        <m:r>
          <m:t>(p)=</m:t>
        </m:r>
        <m:sSub>
          <m:e>
            <m:r>
              <m:t>a</m:t>
            </m:r>
          </m:e>
          <m:sub>
            <m:r>
              <m:t>m</m:t>
            </m:r>
          </m:sub>
        </m:sSub>
        <m:r>
          <m:t>+</m:t>
        </m:r>
        <m:sSubSup>
          <m:e>
            <m:r>
              <m:t>β</m:t>
            </m:r>
          </m:e>
          <m:sub>
            <m:r>
              <m:t>m</m:t>
            </m:r>
          </m:sub>
          <m:sup>
            <m:r>
              <m:rPr>
                <m:scr m:val="sans-serif"/>
                <m:sty m:val="p"/>
              </m:rPr>
              <m:t>T</m:t>
            </m:r>
          </m:sup>
        </m:sSubSup>
        <m:r>
          <m:t>z</m:t>
        </m:r>
      </m:oMath>
      <w:r>
        <w:t xml:space="preserve">    （4）</w:t>
      </w:r>
    </w:p>
    <w:p>
      <w:pPr>
        <w:pStyle w:val="PaperBody"/>
        <w:widowControl/>
      </w:pPr>
      <w:r>
        <w:t>对 13 个验证领域分别用最小二乘估计截距 a_m 和系数 β_m。正交化消除配比总和与截距的精确共线性，同时保留原始零值。M0 为每个领域的训练均值。平均响应 R0 用于总体比较，完整的 R3 向量用于防止平均改进遮蔽某一领域恶化。</w:t>
      </w:r>
    </w:p>
    <w:p>
      <w:pPr>
        <w:pStyle w:val="PaperEquation"/>
        <w:keepNext w:val="0"/>
        <w:widowControl/>
        <w:spacing w:before="100" w:after="100"/>
      </w:pPr>
      <m:oMath xmlns:m="http://schemas.openxmlformats.org/officeDocument/2006/math" xmlns:mml="http://www.w3.org/1998/Math/MathML">
        <m:sSub>
          <m:e>
            <m:r>
              <m:t>R</m:t>
            </m:r>
          </m:e>
          <m:sub>
            <m:r>
              <m:t>0</m:t>
            </m:r>
          </m:sub>
        </m:sSub>
        <m:r>
          <m:t>(p)=</m:t>
        </m:r>
        <m:f>
          <m:fPr>
            <m:type m:val="bar"/>
          </m:fPr>
          <m:num>
            <m:r>
              <m:t>1</m:t>
            </m:r>
          </m:num>
          <m:den>
            <m:r>
              <m:t>13</m:t>
            </m:r>
          </m:den>
        </m:f>
        <m:nary>
          <m:naryPr>
            <m:chr m:val="∑"/>
            <m:limLoc m:val="subSup"/>
            <m:grow m:val="1"/>
            <m:subHide m:val="off"/>
            <m:supHide m:val="off"/>
          </m:naryPr>
          <m:sub>
            <m:r>
              <m:t>m=1</m:t>
            </m:r>
          </m:sub>
          <m:sup>
            <m:r>
              <m:t>13</m:t>
            </m:r>
          </m:sup>
          <m:e>
            <m:sSub>
              <m:e>
                <m:limUpp>
                  <m:e>
                    <m:r>
                      <m:t>L</m:t>
                    </m:r>
                  </m:e>
                  <m:lim>
                    <m:r>
                      <m:t>^</m:t>
                    </m:r>
                  </m:lim>
                </m:limUpp>
              </m:e>
              <m:sub>
                <m:r>
                  <m:t>m</m:t>
                </m:r>
              </m:sub>
            </m:sSub>
            <m:r>
              <m:t>(p)</m:t>
            </m:r>
          </m:e>
        </m:nary>
        <m:r>
          <m:t>,</m:t>
        </m:r>
        <m:sSub>
          <m:e>
            <m:r>
              <m:t>R</m:t>
            </m:r>
          </m:e>
          <m:sub>
            <m:r>
              <m:t>3</m:t>
            </m:r>
          </m:sub>
        </m:sSub>
        <m:r>
          <m:t>(p)=(</m:t>
        </m:r>
        <m:sSub>
          <m:e>
            <m:limUpp>
              <m:e>
                <m:r>
                  <m:t>L</m:t>
                </m:r>
              </m:e>
              <m:lim>
                <m:r>
                  <m:t>^</m:t>
                </m:r>
              </m:lim>
            </m:limUpp>
          </m:e>
          <m:sub>
            <m:r>
              <m:t>1</m:t>
            </m:r>
          </m:sub>
        </m:sSub>
        <m:r>
          <m:t>(p),…,</m:t>
        </m:r>
        <m:sSub>
          <m:e>
            <m:limUpp>
              <m:e>
                <m:r>
                  <m:t>L</m:t>
                </m:r>
              </m:e>
              <m:lim>
                <m:r>
                  <m:t>^</m:t>
                </m:r>
              </m:lim>
            </m:limUpp>
          </m:e>
          <m:sub>
            <m:r>
              <m:t>13</m:t>
            </m:r>
          </m:sub>
        </m:sSub>
        <m:r>
          <m:t>(p)).</m:t>
        </m:r>
      </m:oMath>
      <w:r>
        <w:t xml:space="preserve">    （5）</w:t>
      </w:r>
    </w:p>
    <w:p>
      <w:pPr>
        <w:pStyle w:val="PaperBody"/>
        <w:widowControl/>
      </w:pPr>
      <w:r>
        <w:t>训练阶段五折比较的归一化综合分数为 M0 1.001578、M1 0.750417、岭回归 M2 0.749715。M2 的惩罚参数在训练阶段确定；模型参数、结构和验收规则均在读取 A6—A11 的 Loss 前冻结。M3 的残差升级条件未被触发。A7 用于按既定规则验收候选，未用于回填参数，因此属于拟合外验证，但不是候选偏好确定后另留的最终测试集。</w:t>
      </w:r>
    </w:p>
    <w:p>
      <w:pPr>
        <w:pStyle w:val="PaperBody"/>
        <w:widowControl/>
      </w:pPr>
      <w:r>
        <w:t>表3汇总主要验证，图2展示逐域结果。1M 下 M1 的平均响应 RMSE 为 0.2278，低于 M0 的 0.2846；13/13 领域均改善，逐域 RMSE 平均从 0.7129 降为 0.4540。R0 的 M1−M0 均方误差差的成对 bootstrap 区间为 [−0.03949, −0.01893]。M2 对 M1 的差异区间跨零，不支持增加复杂度。该区间对应预定模型比较，不包含完整选择过程校正。</w:t>
      </w:r>
    </w:p>
    <w:p>
      <w:pPr>
        <w:pStyle w:val="PaperCaption"/>
        <w:keepNext/>
        <w:widowControl/>
      </w:pPr>
      <w:r>
        <w:t>表3 配比模型的留出验证及适用边界</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规模与样本</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M0 R0 RMSE</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M1 R0 RMSE</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中心化误差比 M1/M0</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解释</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1M，256组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0.2846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0.2278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0.8012</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同尺度关联有效，13域均改善</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60M，256组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0.8876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部分中心化形状迁移</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1B，64组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3.108</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中心化迁移失败</w:t>
            </w:r>
          </w:p>
        </w:tc>
      </w:tr>
    </w:tbl>
    <w:p>
      <w:pPr>
        <w:pStyle w:val="PaperCaption"/>
        <w:keepNext/>
        <w:widowControl/>
      </w:pPr>
      <w:r>
        <w:drawing>
          <wp:inline xmlns:a="http://schemas.openxmlformats.org/drawingml/2006/main">
            <wp:extent cx="4608000" cy="4063271"/>
            <wp:docPr id="6" name="Picture 6"/>
            <wp:cNvGraphicFramePr>
              <a:graphicFrameLocks noChangeAspect="1"/>
            </wp:cNvGraphicFramePr>
            <a:graphic>
              <a:graphicData uri="http://schemas.openxmlformats.org/drawingml/2006/picture">
                <pic:pic>
                  <pic:nvPicPr>
                    <pic:cNvPr id="0" name="FIG-Q1-R4-002_domain_validation_gain.png"/>
                    <pic:cNvPicPr/>
                  </pic:nvPicPr>
                  <pic:blipFill>
                    <a:blip r:embed="rId19"/>
                    <a:stretch>
                      <a:fillRect/>
                    </a:stretch>
                  </pic:blipFill>
                  <pic:spPr>
                    <a:xfrm>
                      <a:off x="0" y="0"/>
                      <a:ext cx="4608000" cy="4063271"/>
                    </a:xfrm>
                    <a:prstGeom prst="rect"/>
                  </pic:spPr>
                </pic:pic>
              </a:graphicData>
            </a:graphic>
          </wp:inline>
        </w:drawing>
      </w:r>
    </w:p>
    <w:p>
      <w:pPr>
        <w:pStyle w:val="PaperCaption"/>
        <w:widowControl/>
      </w:pPr>
      <w:r>
        <w:t>图2 1M留出样本的逐领域预测误差。全13域改善仍伴随不同的误差水平，完整数值见附录B。</w:t>
      </w:r>
    </w:p>
    <w:p>
      <w:pPr>
        <w:pStyle w:val="PaperH2"/>
        <w:widowControl/>
      </w:pPr>
      <w:r>
        <w:t>5.4 支持范围与外推结论</w:t>
      </w:r>
    </w:p>
    <w:p>
      <w:pPr>
        <w:pStyle w:val="PaperBody"/>
        <w:widowControl/>
      </w:pPr>
      <w:r>
        <w:t>跨规模比较先分别中心化预测和观测，只检验配比相对形状。60M 的 R0 误差比为 0.8876，支持部分迁移；1B 为 3.108，明显劣于常数基准，迁移失败必须保留。A6 与 A8 的配比完全相同，不能算作两组独立的几何支持证据。</w:t>
      </w:r>
    </w:p>
    <w:p>
      <w:pPr>
        <w:pStyle w:val="PaperBody"/>
        <w:widowControl/>
      </w:pPr>
      <w:r>
        <w:t>经验支持由训练配比的凸包、最近邻距离及训练分位阈值判断。1M 的 256 个配比中仅 2 个严格落在训练凸包内，252 个处于预定近邻层，2 个为域外。近邻预测有证据，并不意味着整个单纯形都有可信预测。A12—A15 是大规模估算外推表，可用于检查范围和方向；其 Loss 不是独立真值，不能挽救已经观察到的 1B 迁移失败。</w:t>
      </w:r>
    </w:p>
    <w:p>
      <w:pPr>
        <w:pStyle w:val="PaperBody"/>
        <w:widowControl/>
      </w:pPr>
      <w:r>
        <w:t>问题一最终输出完整质量画像、五维描述及 DQ0、1M 范围内的配比关联和 13 域误差。缺少同运行质量键使独立质量系数无法识别；规模迁移和真实供给不充分，使后续优化必须附加支持约束。</w:t>
      </w:r>
    </w:p>
    <w:p>
      <w:pPr>
        <w:pStyle w:val="PaperH1"/>
        <w:widowControl/>
      </w:pPr>
      <w:r>
        <w:t>6 问题二 来源分层的广义标度律</w:t>
      </w:r>
    </w:p>
    <w:p>
      <w:pPr>
        <w:pStyle w:val="PaperH2"/>
        <w:widowControl/>
      </w:pPr>
      <w:r>
        <w:t>6.1 来源内估计与参数含义</w:t>
      </w:r>
    </w:p>
    <w:p>
      <w:pPr>
        <w:pStyle w:val="PaperBody"/>
        <w:widowControl/>
      </w:pPr>
      <w:r>
        <w:t>B1 提供 8 个参数规模、每个规模 147 个训练检查点，共 1176 行。N、D 分别以十亿参数和十亿 token 为单位。采用加性幂律模型[1]，按每条规模轨迹等权的均方误差估计五参数；原网格各轨迹等长，此目标与逐行均方误差等价。12 组预定初值的有界最小二乘均收敛，参数未触及边界。</w:t>
      </w:r>
    </w:p>
    <w:p>
      <w:pPr>
        <w:pStyle w:val="PaperEquation"/>
        <w:keepNext w:val="0"/>
        <w:widowControl/>
        <w:spacing w:before="100" w:after="100"/>
      </w:pPr>
      <m:oMath xmlns:m="http://schemas.openxmlformats.org/officeDocument/2006/math" xmlns:mml="http://www.w3.org/1998/Math/MathML">
        <m:sSub>
          <m:e>
            <m:r>
              <m:t>L</m:t>
            </m:r>
          </m:e>
          <m:sub>
            <m:r>
              <m:t>B</m:t>
            </m:r>
          </m:sub>
        </m:sSub>
        <m:r>
          <m:t>(N,D)=</m:t>
        </m:r>
        <m:sSub>
          <m:e>
            <m:r>
              <m:t>L</m:t>
            </m:r>
          </m:e>
          <m:sub>
            <m:r>
              <m:t>∞</m:t>
            </m:r>
          </m:sub>
        </m:sSub>
        <m:r>
          <m:t>+A</m:t>
        </m:r>
        <m:sSup>
          <m:e>
            <m:r>
              <m:t>N</m:t>
            </m:r>
          </m:e>
          <m:sup>
            <m:r>
              <m:t>−α</m:t>
            </m:r>
          </m:sup>
        </m:sSup>
        <m:r>
          <m:t>+B</m:t>
        </m:r>
        <m:sSup>
          <m:e>
            <m:r>
              <m:t>D</m:t>
            </m:r>
          </m:e>
          <m:sup>
            <m:r>
              <m:t>−β</m:t>
            </m:r>
          </m:sup>
        </m:sSup>
        <m:r>
          <m:t>.</m:t>
        </m:r>
      </m:oMath>
      <w:r>
        <w:t xml:space="preserve">    （6）</w:t>
      </w:r>
    </w:p>
    <w:p>
      <w:pPr>
        <w:pStyle w:val="PaperBody"/>
        <w:widowControl/>
      </w:pPr>
      <w:r>
        <w:t>L∞ 是给定量尺上的渐近截距；A、B 是以十亿为单位时两个衰减项的幅度；α、β 是衰减指数。正幅度与正指数表达资源增加时 Loss 降低且边际改善递减，不证明现实训练完全满足加性可分离。表4给出估计及整轨迹重抽样的条件分位区间。</w:t>
      </w:r>
    </w:p>
    <w:p>
      <w:pPr>
        <w:pStyle w:val="PaperCaption"/>
        <w:keepNext/>
        <w:widowControl/>
      </w:pPr>
      <w:r>
        <w:t>表4 幂律参数与200次整轨迹重抽样区间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参数</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估计</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2.5%分位</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97.5%分位</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1.68979756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1.68963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1.68997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A</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0.35398032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0.353758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0.354119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1.24030558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1.24017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1.24043</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α</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0.33997658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0.339808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0.340137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β</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0.27987813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0.279824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0.279934</w:t>
            </w:r>
          </w:p>
        </w:tc>
      </w:tr>
    </w:tbl>
    <w:p>
      <w:pPr>
        <w:pStyle w:val="PaperBody"/>
        <w:widowControl/>
      </w:pPr>
      <w:r>
        <w:t>代入参数得到本文最终采用的附件内部基线：</w:t>
      </w:r>
    </w:p>
    <w:p>
      <w:pPr>
        <w:pStyle w:val="PaperEquation"/>
        <w:keepNext w:val="0"/>
        <w:widowControl/>
        <w:spacing w:before="100" w:after="100"/>
      </w:pPr>
      <m:oMath xmlns:m="http://schemas.openxmlformats.org/officeDocument/2006/math" xmlns:mml="http://www.w3.org/1998/Math/MathML">
        <m:sSub>
          <m:e>
            <m:limUpp>
              <m:e>
                <m:r>
                  <m:t>L</m:t>
                </m:r>
              </m:e>
              <m:lim>
                <m:r>
                  <m:t>^</m:t>
                </m:r>
              </m:lim>
            </m:limUpp>
          </m:e>
          <m:sub>
            <m:r>
              <m:t>B</m:t>
            </m:r>
          </m:sub>
        </m:sSub>
        <m:r>
          <m:t>=1.68979756+0.35398032</m:t>
        </m:r>
        <m:sSup>
          <m:e>
            <m:r>
              <m:t>N</m:t>
            </m:r>
          </m:e>
          <m:sup>
            <m:r>
              <m:t>−0.33997658</m:t>
            </m:r>
          </m:sup>
        </m:sSup>
        <m:r>
          <m:t>+1.24030558</m:t>
        </m:r>
        <m:sSup>
          <m:e>
            <m:r>
              <m:t>D</m:t>
            </m:r>
          </m:e>
          <m:sup>
            <m:r>
              <m:t>−0.27987813</m:t>
            </m:r>
          </m:sup>
        </m:sSup>
        <m:r>
          <m:t>.</m:t>
        </m:r>
      </m:oMath>
      <w:r>
        <w:t xml:space="preserve">    （7）</w:t>
      </w:r>
    </w:p>
    <w:p>
      <w:pPr>
        <w:pStyle w:val="PaperBody"/>
        <w:widowControl/>
      </w:pPr>
      <w:r>
        <w:t>所谓“最终采用”仅指本文的模型选择，不表示外部真实规律完全识别。B1 的原始运行、验证语料和 tokenizer 尚未完全追溯。Pythia 的公开研究说明了受控训练轨迹的用途[3]，但不能替代对本附件具体 val_loss 来源的核验。因此上述参数、误差与导数均限于附件内部量尺。</w:t>
      </w:r>
    </w:p>
    <w:p>
      <w:pPr>
        <w:pStyle w:val="PaperH2"/>
        <w:widowControl/>
      </w:pPr>
      <w:r>
        <w:t>6.2 轨迹验证与跨来源诊断</w:t>
      </w:r>
    </w:p>
    <w:p>
      <w:pPr>
        <w:pStyle w:val="PaperBody"/>
        <w:widowControl/>
      </w:pPr>
      <w:r>
        <w:t>同一轨迹的检查点高度相关，不能随机拆行制造独立样本。采取三类验证：整规模留出，每次用其余规模训练；前向预测，分别用前 73 和前 110 个数据规模点训练；N–D 双维分块，用其余七个规模的前 98 点预测未见规模的后 49 点。表5与图3显示幂律模型相对于均值和对数线性对照的结果。</w:t>
      </w:r>
    </w:p>
    <w:p>
      <w:pPr>
        <w:pStyle w:val="PaperCaption"/>
        <w:keepNext/>
        <w:widowControl/>
      </w:pPr>
      <w:r>
        <w:t>表5 三类轨迹验证的宏平均 RMSE</w:t>
      </w:r>
    </w:p>
    <w:tbl>
      <w:tblPr>
        <w:tblW w:type="auto" w:w="0"/>
        <w:jc w:val="center"/>
        <w:tblLayout w:type="fixed"/>
        <w:tblLook w:firstColumn="1" w:firstRow="1" w:lastColumn="0" w:lastRow="0" w:noHBand="0" w:noVBand="1" w:val="04A0"/>
      </w:tblPr>
      <w:tblGrid>
        <w:gridCol w:w="1778"/>
        <w:gridCol w:w="1497"/>
        <w:gridCol w:w="1497"/>
        <w:gridCol w:w="2713"/>
        <w:gridCol w:w="1871"/>
      </w:tblGrid>
      <w:tr>
        <w:trPr>
          <w:cantSplit/>
          <w:tblHeader/>
        </w:trPr>
        <w:tc>
          <w:tcPr>
            <w:tcW w:type="dxa" w:w="1778"/>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验证方式</w:t>
            </w:r>
          </w:p>
        </w:tc>
        <w:tc>
          <w:tcPr>
            <w:tcW w:type="dxa" w:w="1497"/>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均值基准</w:t>
            </w:r>
          </w:p>
        </w:tc>
        <w:tc>
          <w:tcPr>
            <w:tcW w:type="dxa" w:w="1497"/>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对数线性</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幂律模型</w:t>
            </w:r>
          </w:p>
        </w:tc>
        <w:tc>
          <w:tcPr>
            <w:tcW w:type="dxa" w:w="187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幂律最坏组</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整规模留出</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0.351306</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0.117987</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0.000146888187</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0.000220230</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前向预测</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0.271274</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0.120386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0.000111641982</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0.000176509</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双维分块</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0.290069</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0.122919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0.000114133980</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0.000189630</w:t>
            </w:r>
          </w:p>
        </w:tc>
      </w:tr>
    </w:tbl>
    <w:p>
      <w:pPr>
        <w:pStyle w:val="PaperCaption"/>
        <w:keepNext/>
        <w:widowControl/>
      </w:pPr>
      <w:r>
        <w:drawing>
          <wp:inline xmlns:a="http://schemas.openxmlformats.org/drawingml/2006/main">
            <wp:extent cx="5941060" cy="3928764"/>
            <wp:docPr id="7" name="Picture 7"/>
            <wp:cNvGraphicFramePr>
              <a:graphicFrameLocks noChangeAspect="1"/>
            </wp:cNvGraphicFramePr>
            <a:graphic>
              <a:graphicData uri="http://schemas.openxmlformats.org/drawingml/2006/picture">
                <pic:pic>
                  <pic:nvPicPr>
                    <pic:cNvPr id="0" name="FIG-Q2-R5-002.png"/>
                    <pic:cNvPicPr/>
                  </pic:nvPicPr>
                  <pic:blipFill>
                    <a:blip r:embed="rId20"/>
                    <a:stretch>
                      <a:fillRect/>
                    </a:stretch>
                  </pic:blipFill>
                  <pic:spPr>
                    <a:xfrm>
                      <a:off x="0" y="0"/>
                      <a:ext cx="5941060" cy="3928764"/>
                    </a:xfrm>
                    <a:prstGeom prst="rect"/>
                  </pic:spPr>
                </pic:pic>
              </a:graphicData>
            </a:graphic>
          </wp:inline>
        </w:drawing>
      </w:r>
    </w:p>
    <w:p>
      <w:pPr>
        <w:pStyle w:val="PaperCaption"/>
        <w:widowControl/>
      </w:pPr>
      <w:r>
        <w:t>图3 幂律模型与两类基准的分组验证。纵轴量尺和对数刻度见原图；极小误差只对应本附件内部。</w:t>
      </w:r>
    </w:p>
    <w:p>
      <w:pPr>
        <w:pStyle w:val="PaperBody"/>
        <w:widowControl/>
      </w:pPr>
      <w:r>
        <w:t>三类检验均满足事先规定的附件内部用途容差。最大、最小 N 的整规模留出含一侧外推，其余为规模插值，应区别解释。训练残差未达到增加复杂模型的预定触发标准，故保留五参数形式。200 次整轨迹重抽样全部有效，但只有八条原轨迹，窄参数带不覆盖真实训练波动、来源错误或结构遗漏。</w:t>
      </w:r>
    </w:p>
    <w:p>
      <w:pPr>
        <w:pStyle w:val="PaperBody"/>
        <w:widowControl/>
      </w:pPr>
      <w:r>
        <w:t>B2 按半合成轨迹作中心化形状检验，B4/B5 按来源家族分别比较；绝对 Loss 不合并。三者中心化 RMSE 相对于零响应基准的中位比依次为 0.855084、0.436601、0.555135。这些诊断使用目标组均值，能检查形状而不是证明新来源的绝对预测校准。B3 是派生插值，不增加独立证据。B9/B10 用于百亿参数以上外推范围讨论，其中四条 D=0 不预测，128 条估算 Loss 不作验证真值。不能以源内低误差掩盖这些来源边界。</w:t>
      </w:r>
    </w:p>
    <w:p>
      <w:pPr>
        <w:pStyle w:val="PaperH2"/>
        <w:widowControl/>
      </w:pPr>
      <w:r>
        <w:t>6.3 边际效用 弹性与规模替代</w:t>
      </w:r>
    </w:p>
    <w:p>
      <w:pPr>
        <w:pStyle w:val="PaperBody"/>
        <w:widowControl/>
      </w:pPr>
      <w:r>
        <w:t>令 U=A N^(−α)、V=B D^(−β)。对式（6）求导并按总 Loss 归一化：</w:t>
      </w:r>
    </w:p>
    <w:p>
      <w:pPr>
        <w:pStyle w:val="PaperEquation"/>
        <w:keepNext/>
        <w:widowControl/>
        <w:spacing w:before="100" w:after="100"/>
      </w:pPr>
      <m:oMath xmlns:m="http://schemas.openxmlformats.org/officeDocument/2006/math" xmlns:mml="http://www.w3.org/1998/Math/MathML">
        <m:f>
          <m:fPr>
            <m:type m:val="bar"/>
          </m:fPr>
          <m:num>
            <m:r>
              <m:t>∂</m:t>
            </m:r>
            <m:sSub>
              <m:e>
                <m:r>
                  <m:t>L</m:t>
                </m:r>
              </m:e>
              <m:sub>
                <m:r>
                  <m:t>B</m:t>
                </m:r>
              </m:sub>
            </m:sSub>
          </m:num>
          <m:den>
            <m:r>
              <m:t>∂N</m:t>
            </m:r>
          </m:den>
        </m:f>
        <m:r>
          <m:t>=−</m:t>
        </m:r>
        <m:f>
          <m:fPr>
            <m:type m:val="bar"/>
          </m:fPr>
          <m:num>
            <m:r>
              <m:t>αU</m:t>
            </m:r>
          </m:num>
          <m:den>
            <m:r>
              <m:t>N</m:t>
            </m:r>
          </m:den>
        </m:f>
        <m:r>
          <m:t>,</m:t>
        </m:r>
        <m:f>
          <m:fPr>
            <m:type m:val="bar"/>
          </m:fPr>
          <m:num>
            <m:r>
              <m:t>∂</m:t>
            </m:r>
            <m:sSub>
              <m:e>
                <m:r>
                  <m:t>L</m:t>
                </m:r>
              </m:e>
              <m:sub>
                <m:r>
                  <m:t>B</m:t>
                </m:r>
              </m:sub>
            </m:sSub>
          </m:num>
          <m:den>
            <m:r>
              <m:t>∂D</m:t>
            </m:r>
          </m:den>
        </m:f>
        <m:r>
          <m:t>=−</m:t>
        </m:r>
        <m:f>
          <m:fPr>
            <m:type m:val="bar"/>
          </m:fPr>
          <m:num>
            <m:r>
              <m:t>βV</m:t>
            </m:r>
          </m:num>
          <m:den>
            <m:r>
              <m:t>D</m:t>
            </m:r>
          </m:den>
        </m:f>
      </m:oMath>
    </w:p>
    <w:p>
      <w:pPr>
        <w:pStyle w:val="PaperEquation"/>
        <w:keepNext w:val="0"/>
        <w:widowControl/>
        <w:spacing w:before="100" w:after="100"/>
      </w:pPr>
      <m:oMath xmlns:m="http://schemas.openxmlformats.org/officeDocument/2006/math" xmlns:mml="http://www.w3.org/1998/Math/MathML">
        <m:sSub>
          <m:e>
            <m:r>
              <m:t>ε</m:t>
            </m:r>
          </m:e>
          <m:sub>
            <m:r>
              <m:t>N</m:t>
            </m:r>
          </m:sub>
        </m:sSub>
        <m:r>
          <m:t>=−</m:t>
        </m:r>
        <m:f>
          <m:fPr>
            <m:type m:val="bar"/>
          </m:fPr>
          <m:num>
            <m:r>
              <m:t>αU</m:t>
            </m:r>
          </m:num>
          <m:den>
            <m:sSub>
              <m:e>
                <m:r>
                  <m:t>L</m:t>
                </m:r>
              </m:e>
              <m:sub>
                <m:r>
                  <m:t>B</m:t>
                </m:r>
              </m:sub>
            </m:sSub>
          </m:den>
        </m:f>
        <m:r>
          <m:t>,</m:t>
        </m:r>
        <m:sSub>
          <m:e>
            <m:r>
              <m:t>ε</m:t>
            </m:r>
          </m:e>
          <m:sub>
            <m:r>
              <m:t>D</m:t>
            </m:r>
          </m:sub>
        </m:sSub>
        <m:r>
          <m:t>=−</m:t>
        </m:r>
        <m:f>
          <m:fPr>
            <m:type m:val="bar"/>
          </m:fPr>
          <m:num>
            <m:r>
              <m:t>βV</m:t>
            </m:r>
          </m:num>
          <m:den>
            <m:sSub>
              <m:e>
                <m:r>
                  <m:t>L</m:t>
                </m:r>
              </m:e>
              <m:sub>
                <m:r>
                  <m:t>B</m:t>
                </m:r>
              </m:sub>
            </m:sSub>
          </m:den>
        </m:f>
      </m:oMath>
      <w:r>
        <w:t xml:space="preserve">    （8）</w:t>
      </w:r>
    </w:p>
    <w:p>
      <w:pPr>
        <w:pStyle w:val="PaperBody"/>
        <w:widowControl/>
      </w:pPr>
      <w:r>
        <w:t>总 Loss 弹性随资源位置改变，不能直接写成 −α、−β。两个自身二阶导数均为正，表明模型内绝对边际改善递减。等 Loss 曲线满足：</w:t>
      </w:r>
    </w:p>
    <w:p>
      <w:pPr>
        <w:pStyle w:val="PaperEquation"/>
        <w:keepNext/>
        <w:widowControl/>
        <w:spacing w:before="100" w:after="100"/>
      </w:pPr>
      <m:oMath xmlns:m="http://schemas.openxmlformats.org/officeDocument/2006/math" xmlns:mml="http://www.w3.org/1998/Math/MathML">
        <m:f>
          <m:fPr>
            <m:type m:val="bar"/>
          </m:fPr>
          <m:num>
            <m:r>
              <m:t>d</m:t>
            </m:r>
            <m:r>
              <m:rPr>
                <m:sty m:val="p"/>
              </m:rPr>
              <m:t>log</m:t>
            </m:r>
            <m:r>
              <m:t>D</m:t>
            </m:r>
          </m:num>
          <m:den>
            <m:r>
              <m:t>d</m:t>
            </m:r>
            <m:r>
              <m:rPr>
                <m:sty m:val="p"/>
              </m:rPr>
              <m:t>log</m:t>
            </m:r>
            <m:r>
              <m:t>N</m:t>
            </m:r>
          </m:den>
        </m:f>
        <m:r>
          <m:t>=−</m:t>
        </m:r>
        <m:f>
          <m:fPr>
            <m:type m:val="bar"/>
          </m:fPr>
          <m:num>
            <m:r>
              <m:t>αU</m:t>
            </m:r>
          </m:num>
          <m:den>
            <m:r>
              <m:t>βV</m:t>
            </m:r>
          </m:den>
        </m:f>
      </m:oMath>
    </w:p>
    <w:p>
      <w:pPr>
        <w:pStyle w:val="PaperEquation"/>
        <w:keepNext w:val="0"/>
        <w:widowControl/>
        <w:spacing w:before="100" w:after="100"/>
      </w:pPr>
      <m:oMath xmlns:m="http://schemas.openxmlformats.org/officeDocument/2006/math" xmlns:mml="http://www.w3.org/1998/Math/MathML">
        <m:sSub>
          <m:e>
            <m:r>
              <m:t>D</m:t>
            </m:r>
          </m:e>
          <m:sub>
            <m:r>
              <m:rPr>
                <m:sty m:val="p"/>
              </m:rPr>
              <m:t>new</m:t>
            </m:r>
          </m:sub>
        </m:sSub>
        <m:r>
          <m:t>=</m:t>
        </m:r>
        <m:sSup>
          <m:e>
            <m:r>
              <m:t>(</m:t>
            </m:r>
            <m:f>
              <m:fPr>
                <m:type m:val="bar"/>
              </m:fPr>
              <m:num>
                <m:r>
                  <m:t>B</m:t>
                </m:r>
              </m:num>
              <m:den>
                <m:sSub>
                  <m:e>
                    <m:r>
                      <m:t>L</m:t>
                    </m:r>
                  </m:e>
                  <m:sub>
                    <m:r>
                      <m:rPr>
                        <m:sty m:val="p"/>
                      </m:rPr>
                      <m:t>old</m:t>
                    </m:r>
                  </m:sub>
                </m:sSub>
                <m:r>
                  <m:t>−</m:t>
                </m:r>
                <m:sSub>
                  <m:e>
                    <m:r>
                      <m:t>L</m:t>
                    </m:r>
                  </m:e>
                  <m:sub>
                    <m:r>
                      <m:t>∞</m:t>
                    </m:r>
                  </m:sub>
                </m:sSub>
                <m:r>
                  <m:t>−A</m:t>
                </m:r>
                <m:sSubSup>
                  <m:e>
                    <m:r>
                      <m:t>N</m:t>
                    </m:r>
                  </m:e>
                  <m:sub>
                    <m:r>
                      <m:rPr>
                        <m:sty m:val="p"/>
                      </m:rPr>
                      <m:t>new</m:t>
                    </m:r>
                  </m:sub>
                  <m:sup>
                    <m:r>
                      <m:t>−α</m:t>
                    </m:r>
                  </m:sup>
                </m:sSubSup>
              </m:den>
            </m:f>
            <m:r>
              <m:t>)</m:t>
            </m:r>
          </m:e>
          <m:sup>
            <m:f>
              <m:fPr>
                <m:type m:val="lin"/>
              </m:fPr>
              <m:num>
                <m:r>
                  <m:t>1</m:t>
                </m:r>
              </m:num>
              <m:den>
                <m:r>
                  <m:t>β</m:t>
                </m:r>
              </m:den>
            </m:f>
          </m:sup>
        </m:sSup>
      </m:oMath>
      <w:r>
        <w:t xml:space="preserve">    （9）</w:t>
      </w:r>
    </w:p>
    <w:p>
      <w:pPr>
        <w:pStyle w:val="PaperBody"/>
        <w:widowControl/>
      </w:pPr>
      <w:r>
        <w:t>有限替代要求右端分母为正，且新点仍在模型支持范围。图4展示边际与替代关系。在 N=1、D=100 的解释性示例点，预测 Loss 为 2.385578；N、D 的总 Loss 弹性分别为 −0.050447、−0.040100，等 Loss 对数替代率为 −1.258018。N 小幅增加 1% 可局部补偿 D 约减少 1.258%，不适用于任意大变化。N 从 1 降为 0.8 时需 D≈135.5586；降为 0.5 时需 D≈315.8275，超过支持上限 299.893，必须标为外推。</w:t>
      </w:r>
    </w:p>
    <w:p>
      <w:pPr>
        <w:pStyle w:val="PaperCaption"/>
        <w:keepNext/>
        <w:widowControl/>
      </w:pPr>
      <w:r>
        <w:drawing>
          <wp:inline xmlns:a="http://schemas.openxmlformats.org/drawingml/2006/main">
            <wp:extent cx="4608000" cy="4310710"/>
            <wp:docPr id="8" name="Picture 8"/>
            <wp:cNvGraphicFramePr>
              <a:graphicFrameLocks noChangeAspect="1"/>
            </wp:cNvGraphicFramePr>
            <a:graphic>
              <a:graphicData uri="http://schemas.openxmlformats.org/drawingml/2006/picture">
                <pic:pic>
                  <pic:nvPicPr>
                    <pic:cNvPr id="0" name="FIG-Q2-R5-003.png"/>
                    <pic:cNvPicPr/>
                  </pic:nvPicPr>
                  <pic:blipFill>
                    <a:blip r:embed="rId21"/>
                    <a:stretch>
                      <a:fillRect/>
                    </a:stretch>
                  </pic:blipFill>
                  <pic:spPr>
                    <a:xfrm>
                      <a:off x="0" y="0"/>
                      <a:ext cx="4608000" cy="4310710"/>
                    </a:xfrm>
                    <a:prstGeom prst="rect"/>
                  </pic:spPr>
                </pic:pic>
              </a:graphicData>
            </a:graphic>
          </wp:inline>
        </w:drawing>
      </w:r>
    </w:p>
    <w:p>
      <w:pPr>
        <w:pStyle w:val="PaperCaption"/>
        <w:widowControl/>
      </w:pPr>
      <w:r>
        <w:t>图4 参数 数据的边际与替代关系。所有数量采用十亿单位；示例局部导数不能直接外推为有限变化。</w:t>
      </w:r>
    </w:p>
    <w:p>
      <w:pPr>
        <w:pStyle w:val="PaperH2"/>
        <w:widowControl/>
      </w:pPr>
      <w:r>
        <w:t>6.4 广义质量与配比项的条件解释</w:t>
      </w:r>
    </w:p>
    <w:p>
      <w:pPr>
        <w:pStyle w:val="PaperBody"/>
        <w:widowControl/>
      </w:pPr>
      <w:r>
        <w:t>B6 是 B7 的精确子集，不重复计样本。B7 的 450 个唯一 N–D–Q 点构成 45 个 N–D 单元；单元内 Q–Loss 斜率全部为负，共同斜率为 −0.361995。质量项具有规模依赖：允许斜率随 log N 和 log(D/100) 改变后，留一规模的中心化宏 RMSE 从 0.052964 降为 0.043679。测试单元均值参与中心化，因此这仅检验半合成表中的响应形状，不是新单元绝对预测。</w:t>
      </w:r>
    </w:p>
    <w:p>
      <w:pPr>
        <w:pStyle w:val="PaperBody"/>
        <w:widowControl/>
      </w:pPr>
      <w:r>
        <w:t>用独立情景层表达四因素关系，既回答题目中的质量与配比机制，也保留未被数据识别的部分：</w:t>
      </w:r>
    </w:p>
    <w:p>
      <w:pPr>
        <w:pStyle w:val="PaperEquation"/>
        <w:keepNext w:val="0"/>
        <w:widowControl/>
        <w:spacing w:before="100" w:after="100"/>
      </w:pPr>
      <m:oMath xmlns:m="http://schemas.openxmlformats.org/officeDocument/2006/math" xmlns:mml="http://www.w3.org/1998/Math/MathML">
        <m:sSub>
          <m:e>
            <m:r>
              <m:t>L</m:t>
            </m:r>
          </m:e>
          <m:sub>
            <m:r>
              <m:t>s</m:t>
            </m:r>
          </m:sub>
        </m:sSub>
        <m:r>
          <m:t>(N,D,Q,p)=</m:t>
        </m:r>
        <m:sSub>
          <m:e>
            <m:r>
              <m:t>L</m:t>
            </m:r>
          </m:e>
          <m:sub>
            <m:r>
              <m:t>B</m:t>
            </m:r>
          </m:sub>
        </m:sSub>
        <m:r>
          <m:t>(N,D)−</m:t>
        </m:r>
        <m:sSub>
          <m:e>
            <m:r>
              <m:t>h</m:t>
            </m:r>
          </m:e>
          <m:sub>
            <m:r>
              <m:t>Q</m:t>
            </m:r>
          </m:sub>
        </m:sSub>
        <m:r>
          <m:t>(Q−</m:t>
        </m:r>
        <m:sSub>
          <m:e>
            <m:r>
              <m:t>Q</m:t>
            </m:r>
          </m:e>
          <m:sub>
            <m:r>
              <m:t>0</m:t>
            </m:r>
          </m:sub>
        </m:sSub>
        <m:r>
          <m:t>)+</m:t>
        </m:r>
        <m:sSub>
          <m:e>
            <m:r>
              <m:t>k</m:t>
            </m:r>
          </m:e>
          <m:sub>
            <m:r>
              <m:t>s</m:t>
            </m:r>
          </m:sub>
        </m:sSub>
        <m:r>
          <m:t>(N)Δ</m:t>
        </m:r>
        <m:sSub>
          <m:e>
            <m:r>
              <m:t>L</m:t>
            </m:r>
          </m:e>
          <m:sub>
            <m:r>
              <m:t>A</m:t>
            </m:r>
          </m:sub>
        </m:sSub>
        <m:r>
          <m:t>(p),</m:t>
        </m:r>
        <m:sSub>
          <m:e>
            <m:r>
              <m:t>h</m:t>
            </m:r>
          </m:e>
          <m:sub>
            <m:r>
              <m:t>Q</m:t>
            </m:r>
          </m:sub>
        </m:sSub>
        <m:r>
          <m:t>=λ</m:t>
        </m:r>
        <m:r>
          <m:t>0.3619952862.</m:t>
        </m:r>
      </m:oMath>
      <w:r>
        <w:t xml:space="preserve">    （10）</w:t>
      </w:r>
    </w:p>
    <w:p>
      <w:pPr>
        <w:pStyle w:val="PaperBody"/>
        <w:widowControl/>
      </w:pPr>
      <w:r>
        <w:t>Q0=0.5，λ 取 0、0.5、1、1.5。ΔL_A 为 A 来源中相对于参考配比的 R0 变化；k_s 还包含 A/B Loss 量尺转换，无法由现有数据估计。默认基线为 h_Q=0、k_s=0。由此广义式在参考质量与配比处退化为式（6）；非零质量项和跨来源配比项只作为明确假定的情景，不以拟合符号冒充已经识别的统一规律。</w:t>
      </w:r>
    </w:p>
    <w:p>
      <w:pPr>
        <w:pStyle w:val="PaperCaption"/>
        <w:keepNext/>
        <w:widowControl/>
      </w:pPr>
      <w:r>
        <w:t>表6 质量与跨来源证据的可解释范围</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项目</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数值结果</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适用解释</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B7共同质量斜率</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−0.361995，45/45为负</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半合成表内校准</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质量规模调节验证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0.052964→0.043679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中心化响应形状</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B2/B4/B5误差比</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0.855084/0.436601/0.555135</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来源分开的事后形状诊断</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Q提高0.1的示例替代</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N减24.903% 或 D减30.210%</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λ=1及量尺运输假设下的条件结果</w:t>
            </w:r>
          </w:p>
        </w:tc>
      </w:tr>
    </w:tbl>
    <w:p>
      <w:pPr>
        <w:pStyle w:val="PaperBody"/>
        <w:widowControl/>
      </w:pPr>
      <w:r>
        <w:t>质量与规模的等 Loss 替代由式（10）求导；在固定 h_Q、固定配比的条件下，</w:t>
      </w:r>
    </w:p>
    <w:p>
      <w:pPr>
        <w:pStyle w:val="PaperEquation"/>
        <w:keepNext w:val="0"/>
        <w:widowControl/>
        <w:spacing w:before="100" w:after="100"/>
      </w:pPr>
      <m:oMath xmlns:m="http://schemas.openxmlformats.org/officeDocument/2006/math" xmlns:mml="http://www.w3.org/1998/Math/MathML">
        <m:f>
          <m:fPr>
            <m:type m:val="bar"/>
          </m:fPr>
          <m:num>
            <m:r>
              <m:t>d</m:t>
            </m:r>
            <m:r>
              <m:rPr>
                <m:sty m:val="p"/>
              </m:rPr>
              <m:t>log</m:t>
            </m:r>
            <m:r>
              <m:t>N</m:t>
            </m:r>
          </m:num>
          <m:den>
            <m:r>
              <m:t>dQ</m:t>
            </m:r>
          </m:den>
        </m:f>
        <m:r>
          <m:t>=−</m:t>
        </m:r>
        <m:f>
          <m:fPr>
            <m:type m:val="bar"/>
          </m:fPr>
          <m:num>
            <m:sSub>
              <m:e>
                <m:r>
                  <m:t>h</m:t>
                </m:r>
              </m:e>
              <m:sub>
                <m:r>
                  <m:t>Q</m:t>
                </m:r>
              </m:sub>
            </m:sSub>
          </m:num>
          <m:den>
            <m:r>
              <m:t>αU</m:t>
            </m:r>
          </m:den>
        </m:f>
        <m:r>
          <m:t>,</m:t>
        </m:r>
        <m:f>
          <m:fPr>
            <m:type m:val="bar"/>
          </m:fPr>
          <m:num>
            <m:r>
              <m:t>d</m:t>
            </m:r>
            <m:r>
              <m:rPr>
                <m:sty m:val="p"/>
              </m:rPr>
              <m:t>log</m:t>
            </m:r>
            <m:r>
              <m:t>D</m:t>
            </m:r>
          </m:num>
          <m:den>
            <m:r>
              <m:t>dQ</m:t>
            </m:r>
          </m:den>
        </m:f>
        <m:r>
          <m:t>=−</m:t>
        </m:r>
        <m:f>
          <m:fPr>
            <m:type m:val="bar"/>
          </m:fPr>
          <m:num>
            <m:sSub>
              <m:e>
                <m:r>
                  <m:t>h</m:t>
                </m:r>
              </m:e>
              <m:sub>
                <m:r>
                  <m:t>Q</m:t>
                </m:r>
              </m:sub>
            </m:sSub>
          </m:num>
          <m:den>
            <m:r>
              <m:t>βV</m:t>
            </m:r>
          </m:den>
        </m:f>
        <m:r>
          <m:t>,</m:t>
        </m:r>
        <m:sSub>
          <m:e>
            <m:r>
              <m:t>N</m:t>
            </m:r>
          </m:e>
          <m:sub>
            <m:r>
              <m:rPr>
                <m:sty m:val="p"/>
              </m:rPr>
              <m:t>new</m:t>
            </m:r>
          </m:sub>
        </m:sSub>
        <m:r>
          <m:t>=</m:t>
        </m:r>
        <m:sSup>
          <m:e>
            <m:r>
              <m:t>(</m:t>
            </m:r>
            <m:f>
              <m:fPr>
                <m:type m:val="bar"/>
              </m:fPr>
              <m:num>
                <m:r>
                  <m:t>A</m:t>
                </m:r>
              </m:num>
              <m:den>
                <m:r>
                  <m:t>U+</m:t>
                </m:r>
                <m:sSub>
                  <m:e>
                    <m:r>
                      <m:t>h</m:t>
                    </m:r>
                  </m:e>
                  <m:sub>
                    <m:r>
                      <m:t>Q</m:t>
                    </m:r>
                  </m:sub>
                </m:sSub>
                <m:r>
                  <m:t>ΔQ</m:t>
                </m:r>
              </m:den>
            </m:f>
            <m:r>
              <m:t>)</m:t>
            </m:r>
          </m:e>
          <m:sup>
            <m:f>
              <m:fPr>
                <m:type m:val="lin"/>
              </m:fPr>
              <m:num>
                <m:r>
                  <m:t>1</m:t>
                </m:r>
              </m:num>
              <m:den>
                <m:r>
                  <m:t>α</m:t>
                </m:r>
              </m:den>
            </m:f>
          </m:sup>
        </m:sSup>
        <m:r>
          <m:t>.</m:t>
        </m:r>
      </m:oMath>
      <w:r>
        <w:t xml:space="preserve">    （11）</w:t>
      </w:r>
    </w:p>
    <w:p>
      <w:pPr>
        <w:pStyle w:val="PaperBody"/>
        <w:widowControl/>
      </w:pPr>
      <w:r>
        <w:t>表6的替代量取 N=1、D=100、ΔQ=0.1；二者是分别固定另一资源时的选择，不能同时相加计算“节省”。Q 是 B7 的情景刻度，不是 DQ0 提高 0.1。另一种有效数据假设 D_eff=D(Q/Q0)^ρ 即使局部匹配斜率，也产生不同的有限替代，说明机制假设的不确定性不能用窄参数区间代替。</w:t>
      </w:r>
    </w:p>
    <w:p>
      <w:pPr>
        <w:pStyle w:val="PaperBody"/>
        <w:widowControl/>
      </w:pPr>
      <w:r>
        <w:t>领域替代必须沿单纯形切向进行。将领域 j 的 δ 比例转给领域 i，对第 m 个验证领域的变化为：</w:t>
      </w:r>
    </w:p>
    <w:p>
      <w:pPr>
        <w:pStyle w:val="PaperEquation"/>
        <w:keepNext w:val="0"/>
        <w:widowControl/>
        <w:spacing w:before="100" w:after="100"/>
      </w:pPr>
      <m:oMath xmlns:m="http://schemas.openxmlformats.org/officeDocument/2006/math" xmlns:mml="http://www.w3.org/1998/Math/MathML">
        <m:r>
          <m:t>Δ</m:t>
        </m:r>
        <m:sSub>
          <m:e>
            <m:limUpp>
              <m:e>
                <m:r>
                  <m:t>L</m:t>
                </m:r>
              </m:e>
              <m:lim>
                <m:r>
                  <m:t>^</m:t>
                </m:r>
              </m:lim>
            </m:limUpp>
          </m:e>
          <m:sub>
            <m:r>
              <m:t>m</m:t>
            </m:r>
          </m:sub>
        </m:sSub>
        <m:r>
          <m:t>=δ</m:t>
        </m:r>
        <m:r>
          <m:t>(</m:t>
        </m:r>
        <m:sSub>
          <m:e>
            <m:r>
              <m:t>e</m:t>
            </m:r>
          </m:e>
          <m:sub>
            <m:r>
              <m:t>i</m:t>
            </m:r>
          </m:sub>
        </m:sSub>
        <m:r>
          <m:t>−</m:t>
        </m:r>
        <m:sSub>
          <m:e>
            <m:r>
              <m:t>e</m:t>
            </m:r>
          </m:e>
          <m:sub>
            <m:r>
              <m:t>j</m:t>
            </m:r>
          </m:sub>
        </m:sSub>
        <m:sSup>
          <m:e>
            <m:r>
              <m:t>)</m:t>
            </m:r>
          </m:e>
          <m:sup>
            <m:r>
              <m:rPr>
                <m:scr m:val="sans-serif"/>
                <m:sty m:val="p"/>
              </m:rPr>
              <m:t>T</m:t>
            </m:r>
          </m:sup>
        </m:sSup>
        <m:r>
          <m:t>H</m:t>
        </m:r>
        <m:sSub>
          <m:e>
            <m:r>
              <m:t>β</m:t>
            </m:r>
          </m:e>
          <m:sub>
            <m:r>
              <m:t>m</m:t>
            </m:r>
          </m:sub>
        </m:sSub>
        <m:r>
          <m:t>,</m:t>
        </m:r>
        <m:sSup>
          <m:e>
            <m:r>
              <m:rPr>
                <m:sty m:val="b"/>
              </m:rPr>
              <m:t>1</m:t>
            </m:r>
          </m:e>
          <m:sup>
            <m:r>
              <m:rPr>
                <m:scr m:val="sans-serif"/>
                <m:sty m:val="p"/>
              </m:rPr>
              <m:t>T</m:t>
            </m:r>
          </m:sup>
        </m:sSup>
        <m:r>
          <m:t>(</m:t>
        </m:r>
        <m:sSub>
          <m:e>
            <m:r>
              <m:t>e</m:t>
            </m:r>
          </m:e>
          <m:sub>
            <m:r>
              <m:t>i</m:t>
            </m:r>
          </m:sub>
        </m:sSub>
        <m:r>
          <m:t>−</m:t>
        </m:r>
        <m:sSub>
          <m:e>
            <m:r>
              <m:t>e</m:t>
            </m:r>
          </m:e>
          <m:sub>
            <m:r>
              <m:t>j</m:t>
            </m:r>
          </m:sub>
        </m:sSub>
        <m:r>
          <m:t>)=0.</m:t>
        </m:r>
      </m:oMath>
      <w:r>
        <w:t xml:space="preserve">    （12）</w:t>
      </w:r>
    </w:p>
    <w:p>
      <w:pPr>
        <w:pStyle w:val="PaperBody"/>
        <w:widowControl/>
      </w:pPr>
      <w:r>
        <w:t>同一方向可能改善某些领域而损害其他领域。M1 的二阶配比项为零是线性代理的设定，不是现实互补不存在的证据；零配比处普通对数弹性无定义。1B 迁移失败以及仅 2/256 的严格凸包支持，使非零 k_s 不能直接进入跨规模确定性优化。问题二据此得到来源内基线、可核验的导数和有限替代式，以及边界明确的质量和配比情景。</w:t>
      </w:r>
    </w:p>
    <w:p>
      <w:pPr>
        <w:pStyle w:val="PaperH1"/>
        <w:widowControl/>
      </w:pPr>
      <w:r>
        <w:t>7 问题三 支持域约束下的资源配置</w:t>
      </w:r>
    </w:p>
    <w:p>
      <w:pPr>
        <w:pStyle w:val="PaperH2"/>
        <w:widowControl/>
      </w:pPr>
      <w:r>
        <w:t>7.1 统一单位的算力代理</w:t>
      </w:r>
    </w:p>
    <w:p>
      <w:pPr>
        <w:pStyle w:val="PaperBody"/>
        <w:widowControl/>
      </w:pPr>
      <w:r>
        <w:t>采用题设基础训练、注意力和质量提升三项成本。全篇 N、D 仍为十亿单位，故前两项需乘 10¹⁸，质量成本中的 token 数需乘 10⁹。L_ctx 是外生架构情景，不作为内点寻优变量。η=0.0002；参考质量 Q0=0.5 是情景假设，未从 DQ0 反推。</w:t>
      </w:r>
    </w:p>
    <w:p>
      <w:pPr>
        <w:pStyle w:val="PaperEquation"/>
        <w:keepNext w:val="0"/>
        <w:widowControl/>
        <w:spacing w:before="100" w:after="100"/>
      </w:pPr>
      <m:oMath xmlns:m="http://schemas.openxmlformats.org/officeDocument/2006/math" xmlns:mml="http://www.w3.org/1998/Math/MathML">
        <m:sSub>
          <m:e>
            <m:r>
              <m:t>C</m:t>
            </m:r>
          </m:e>
          <m:sub>
            <m:r>
              <m:rPr>
                <m:sty m:val="p"/>
              </m:rPr>
              <m:t>used</m:t>
            </m:r>
          </m:sub>
        </m:sSub>
        <m:r>
          <m:t>=</m:t>
        </m:r>
        <m:sSup>
          <m:e>
            <m:r>
              <m:t>10</m:t>
            </m:r>
          </m:e>
          <m:sup>
            <m:r>
              <m:t>18</m:t>
            </m:r>
          </m:sup>
        </m:sSup>
        <m:r>
          <m:t>(6+η</m:t>
        </m:r>
        <m:sSub>
          <m:e>
            <m:r>
              <m:t>L</m:t>
            </m:r>
          </m:e>
          <m:sub>
            <m:r>
              <m:rPr>
                <m:sty m:val="p"/>
              </m:rPr>
              <m:t>ctx</m:t>
            </m:r>
          </m:sub>
        </m:sSub>
        <m:r>
          <m:t>)ND+</m:t>
        </m:r>
        <m:sSup>
          <m:e>
            <m:r>
              <m:t>10</m:t>
            </m:r>
          </m:e>
          <m:sup>
            <m:r>
              <m:t>9</m:t>
            </m:r>
          </m:sup>
        </m:sSup>
        <m:r>
          <m:t>D</m:t>
        </m:r>
        <m:r>
          <m:t>[g(Q)−g(</m:t>
        </m:r>
        <m:sSub>
          <m:e>
            <m:r>
              <m:t>Q</m:t>
            </m:r>
          </m:e>
          <m:sub>
            <m:r>
              <m:t>0</m:t>
            </m:r>
          </m:sub>
        </m:sSub>
        <m:r>
          <m:t>)</m:t>
        </m:r>
        <m:sSub>
          <m:e>
            <m:r>
              <m:t>]</m:t>
            </m:r>
          </m:e>
          <m:sub>
            <m:r>
              <m:t>+</m:t>
            </m:r>
          </m:sub>
        </m:sSub>
        <m:r>
          <m:t>≤C.</m:t>
        </m:r>
      </m:oMath>
      <w:r>
        <w:t xml:space="preserve">    （13）</w:t>
      </w:r>
    </w:p>
    <w:p>
      <w:pPr>
        <w:pStyle w:val="PaperBody"/>
        <w:widowControl/>
      </w:pPr>
      <w:r>
        <w:t>三种题设质量成本分别为：</w:t>
      </w:r>
    </w:p>
    <w:p>
      <w:pPr>
        <w:pStyle w:val="PaperEquation"/>
        <w:keepNext w:val="0"/>
        <w:widowControl/>
        <w:spacing w:before="100" w:after="100"/>
      </w:pPr>
      <m:oMath xmlns:m="http://schemas.openxmlformats.org/officeDocument/2006/math" xmlns:mml="http://www.w3.org/1998/Math/MathML">
        <m:sSub>
          <m:e>
            <m:r>
              <m:t>g</m:t>
            </m:r>
          </m:e>
          <m:sub>
            <m:r>
              <m:rPr>
                <m:sty m:val="p"/>
              </m:rPr>
              <m:t>exp</m:t>
            </m:r>
          </m:sub>
        </m:sSub>
        <m:r>
          <m:t>(Q)=</m:t>
        </m:r>
        <m:sSup>
          <m:e>
            <m:r>
              <m:t>10</m:t>
            </m:r>
          </m:e>
          <m:sup>
            <m:r>
              <m:t>7</m:t>
            </m:r>
          </m:sup>
        </m:sSup>
        <m:sSup>
          <m:e>
            <m:r>
              <m:t>e</m:t>
            </m:r>
          </m:e>
          <m:sup>
            <m:r>
              <m:t>6Q</m:t>
            </m:r>
          </m:sup>
        </m:sSup>
        <m:r>
          <m:t>,</m:t>
        </m:r>
        <m:sSub>
          <m:e>
            <m:r>
              <m:t>g</m:t>
            </m:r>
          </m:e>
          <m:sub>
            <m:r>
              <m:rPr>
                <m:sty m:val="p"/>
              </m:rPr>
              <m:t>pow</m:t>
            </m:r>
          </m:sub>
        </m:sSub>
        <m:r>
          <m:t>(Q)=5×</m:t>
        </m:r>
        <m:sSup>
          <m:e>
            <m:r>
              <m:t>10</m:t>
            </m:r>
          </m:e>
          <m:sup>
            <m:r>
              <m:t>9</m:t>
            </m:r>
          </m:sup>
        </m:sSup>
        <m:sSup>
          <m:e>
            <m:r>
              <m:t>Q</m:t>
            </m:r>
          </m:e>
          <m:sup>
            <m:r>
              <m:t>4</m:t>
            </m:r>
          </m:sup>
        </m:sSup>
        <m:r>
          <m:t>,</m:t>
        </m:r>
        <m:sSub>
          <m:e>
            <m:r>
              <m:t>g</m:t>
            </m:r>
          </m:e>
          <m:sub>
            <m:r>
              <m:rPr>
                <m:sty m:val="p"/>
              </m:rPr>
              <m:t>log</m:t>
            </m:r>
          </m:sub>
        </m:sSub>
        <m:r>
          <m:t>(Q)=2×</m:t>
        </m:r>
        <m:sSup>
          <m:e>
            <m:r>
              <m:t>10</m:t>
            </m:r>
          </m:e>
          <m:sup>
            <m:r>
              <m:t>9</m:t>
            </m:r>
          </m:sup>
        </m:sSup>
        <m:r>
          <m:rPr>
            <m:sty m:val="p"/>
          </m:rPr>
          <m:t>log</m:t>
        </m:r>
        <m:r>
          <m:t>(1+10Q).</m:t>
        </m:r>
      </m:oMath>
      <w:r>
        <w:t xml:space="preserve">    （14）</w:t>
      </w:r>
    </w:p>
    <w:p>
      <w:pPr>
        <w:pStyle w:val="PaperBody"/>
        <w:widowControl/>
      </w:pPr>
      <w:r>
        <w:t>g 的单位为 FLOPs/token。三个成本项使用相同 D，不将筛选前后 token 再计算一次。以上是题设算力代理，并非现实货币成本或 GPU 账单。独立领域价格和实际可供给数量没有被识别，不能添加虚构价格。定义 c=C/10¹⁸、k=6+ηL_ctx、r(Q)=[g(Q)−g(Q0)]₊/10⁹，则成本约束化为 [kN+r(Q)]D≤c。</w:t>
      </w:r>
    </w:p>
    <w:p>
      <w:pPr>
        <w:pStyle w:val="PaperBody"/>
        <w:widowControl/>
      </w:pPr>
      <w:r>
        <w:t>主问题关闭质量收益和配比运输，以式（6）最小化附件内部 Loss。支持范围为 N∈[0.070542,11.965825]、D∈[0.134,299.893]，来自 B1 的统计范围；矩形内也不表示每一点均经过独立验证。Q 固定于参考值，p 固定于训练平均配比。这一基线避免在不同来源、不同规模之间暗中加入未经验证的收益系数。</w:t>
      </w:r>
    </w:p>
    <w:p>
      <w:pPr>
        <w:pStyle w:val="PaperH2"/>
        <w:widowControl/>
      </w:pPr>
      <w:r>
        <w:t>7.2 解析最优配置与结构转移</w:t>
      </w:r>
    </w:p>
    <w:p>
      <w:pPr>
        <w:pStyle w:val="PaperBody"/>
        <w:widowControl/>
      </w:pPr>
      <w:r>
        <w:t>固定 L_ctx 且 r=0 时，若两支持上界都可承担，则取两上界并允许预算闲置。否则目标对 N、D 均单调下降，预算紧约束给出 ND=K=c/k。将 D=K/N 代入式（6），令 x=log N，非恒定部分为 A exp(−αx)+B K^(−β)exp(βx)，其二阶导数严格为正，故只有一个无界内点极小值。等价的拉格朗日一阶条件为：</w:t>
      </w:r>
    </w:p>
    <w:p>
      <w:pPr>
        <w:pStyle w:val="PaperEquation"/>
        <w:keepNext w:val="0"/>
        <w:widowControl/>
        <w:spacing w:before="100" w:after="100"/>
      </w:pPr>
      <m:oMath xmlns:m="http://schemas.openxmlformats.org/officeDocument/2006/math" xmlns:mml="http://www.w3.org/1998/Math/MathML">
        <m:r>
          <m:rPr>
            <m:scr m:val="script"/>
          </m:rPr>
          <m:t>L</m:t>
        </m:r>
        <m:r>
          <m:t>=</m:t>
        </m:r>
        <m:sSub>
          <m:e>
            <m:r>
              <m:t>L</m:t>
            </m:r>
          </m:e>
          <m:sub>
            <m:r>
              <m:t>B</m:t>
            </m:r>
          </m:sub>
        </m:sSub>
        <m:r>
          <m:t>+μ(kND−c),</m:t>
        </m:r>
        <m:r>
          <m:t>αA</m:t>
        </m:r>
        <m:sSup>
          <m:e>
            <m:r>
              <m:t>N</m:t>
            </m:r>
          </m:e>
          <m:sup>
            <m:r>
              <m:t>−α</m:t>
            </m:r>
          </m:sup>
        </m:sSup>
        <m:r>
          <m:t>=βB</m:t>
        </m:r>
        <m:sSup>
          <m:e>
            <m:r>
              <m:t>D</m:t>
            </m:r>
          </m:e>
          <m:sup>
            <m:r>
              <m:t>−β</m:t>
            </m:r>
          </m:sup>
        </m:sSup>
        <m:r>
          <m:t>,</m:t>
        </m:r>
        <m:r>
          <m:t>μ≥0,</m:t>
        </m:r>
        <m:r>
          <m:t>μ(kND−c)=0.</m:t>
        </m:r>
      </m:oMath>
      <w:r>
        <w:t xml:space="preserve">    （15）</w:t>
      </w:r>
    </w:p>
    <w:p>
      <w:pPr>
        <w:pStyle w:val="PaperBody"/>
        <w:widowControl/>
      </w:pPr>
      <w:r>
        <w:t>由此得到无界内点，并投影到由上下界及预算共同确定的区间：</w:t>
      </w:r>
    </w:p>
    <w:p>
      <w:pPr>
        <w:pStyle w:val="PaperEquation"/>
        <w:keepNext/>
        <w:widowControl/>
        <w:spacing w:before="100" w:after="100"/>
      </w:pPr>
      <m:oMath xmlns:m="http://schemas.openxmlformats.org/officeDocument/2006/math" xmlns:mml="http://www.w3.org/1998/Math/MathML">
        <m:sSub>
          <m:e>
            <m:r>
              <m:t>N</m:t>
            </m:r>
          </m:e>
          <m:sub>
            <m:r>
              <m:t>0</m:t>
            </m:r>
          </m:sub>
        </m:sSub>
        <m:r>
          <m:t>=</m:t>
        </m:r>
        <m:sSup>
          <m:e>
            <m:r>
              <m:t>(</m:t>
            </m:r>
            <m:f>
              <m:fPr>
                <m:type m:val="bar"/>
              </m:fPr>
              <m:num>
                <m:r>
                  <m:t>αA</m:t>
                </m:r>
              </m:num>
              <m:den>
                <m:r>
                  <m:t>βB</m:t>
                </m:r>
              </m:den>
            </m:f>
            <m:r>
              <m:t>)</m:t>
            </m:r>
          </m:e>
          <m:sup>
            <m:r>
              <m:t>1/(α+β)</m:t>
            </m:r>
          </m:sup>
        </m:sSup>
        <m:sSup>
          <m:e>
            <m:r>
              <m:t>K</m:t>
            </m:r>
          </m:e>
          <m:sup>
            <m:r>
              <m:t>β/(α+β)</m:t>
            </m:r>
          </m:sup>
        </m:sSup>
      </m:oMath>
    </w:p>
    <w:p>
      <w:pPr>
        <w:pStyle w:val="PaperEquation"/>
        <w:keepNext/>
        <w:widowControl/>
        <w:spacing w:before="100" w:after="100"/>
      </w:pPr>
      <m:oMath xmlns:m="http://schemas.openxmlformats.org/officeDocument/2006/math" xmlns:mml="http://www.w3.org/1998/Math/MathML">
        <m:sSub>
          <m:e>
            <m:r>
              <m:t>a</m:t>
            </m:r>
          </m:e>
          <m:sub>
            <m:r>
              <m:t>N</m:t>
            </m:r>
          </m:sub>
        </m:sSub>
        <m:r>
          <m:t>=max(</m:t>
        </m:r>
        <m:sSub>
          <m:e>
            <m:r>
              <m:t>N</m:t>
            </m:r>
          </m:e>
          <m:sub>
            <m:r>
              <m:t>min</m:t>
            </m:r>
          </m:sub>
        </m:sSub>
        <m:r>
          <m:t>,K/</m:t>
        </m:r>
        <m:sSub>
          <m:e>
            <m:r>
              <m:t>D</m:t>
            </m:r>
          </m:e>
          <m:sub>
            <m:r>
              <m:t>max</m:t>
            </m:r>
          </m:sub>
        </m:sSub>
        <m:r>
          <m:t>),</m:t>
        </m:r>
        <m:sSub>
          <m:e>
            <m:r>
              <m:t>b</m:t>
            </m:r>
          </m:e>
          <m:sub>
            <m:r>
              <m:t>N</m:t>
            </m:r>
          </m:sub>
        </m:sSub>
        <m:r>
          <m:t>=min(</m:t>
        </m:r>
        <m:sSub>
          <m:e>
            <m:r>
              <m:t>N</m:t>
            </m:r>
          </m:e>
          <m:sub>
            <m:r>
              <m:t>max</m:t>
            </m:r>
          </m:sub>
        </m:sSub>
        <m:r>
          <m:t>,K/</m:t>
        </m:r>
        <m:sSub>
          <m:e>
            <m:r>
              <m:t>D</m:t>
            </m:r>
          </m:e>
          <m:sub>
            <m:r>
              <m:t>min</m:t>
            </m:r>
          </m:sub>
        </m:sSub>
        <m:r>
          <m:t>)</m:t>
        </m:r>
      </m:oMath>
    </w:p>
    <w:p>
      <w:pPr>
        <w:pStyle w:val="PaperEquation"/>
        <w:keepNext w:val="0"/>
        <w:widowControl/>
        <w:spacing w:before="100" w:after="100"/>
      </w:pPr>
      <m:oMath xmlns:m="http://schemas.openxmlformats.org/officeDocument/2006/math" xmlns:mml="http://www.w3.org/1998/Math/MathML">
        <m:sSup>
          <m:e>
            <m:r>
              <m:t>N</m:t>
            </m:r>
          </m:e>
          <m:sup>
            <m:r>
              <m:t>*</m:t>
            </m:r>
          </m:sup>
        </m:sSup>
        <m:r>
          <m:t>=clip(</m:t>
        </m:r>
        <m:sSub>
          <m:e>
            <m:r>
              <m:t>N</m:t>
            </m:r>
          </m:e>
          <m:sub>
            <m:r>
              <m:t>0</m:t>
            </m:r>
          </m:sub>
        </m:sSub>
        <m:r>
          <m:t>,</m:t>
        </m:r>
        <m:sSub>
          <m:e>
            <m:r>
              <m:t>a</m:t>
            </m:r>
          </m:e>
          <m:sub>
            <m:r>
              <m:t>N</m:t>
            </m:r>
          </m:sub>
        </m:sSub>
        <m:r>
          <m:t>,</m:t>
        </m:r>
        <m:sSub>
          <m:e>
            <m:r>
              <m:t>b</m:t>
            </m:r>
          </m:e>
          <m:sub>
            <m:r>
              <m:t>N</m:t>
            </m:r>
          </m:sub>
        </m:sSub>
        <m:r>
          <m:t>),</m:t>
        </m:r>
        <m:sSup>
          <m:e>
            <m:r>
              <m:t>D</m:t>
            </m:r>
          </m:e>
          <m:sup>
            <m:r>
              <m:t>*</m:t>
            </m:r>
          </m:sup>
        </m:sSup>
        <m:r>
          <m:t>=K/</m:t>
        </m:r>
        <m:sSup>
          <m:e>
            <m:r>
              <m:t>N</m:t>
            </m:r>
          </m:e>
          <m:sup>
            <m:r>
              <m:t>*</m:t>
            </m:r>
          </m:sup>
        </m:sSup>
      </m:oMath>
      <w:r>
        <w:t xml:space="preserve">    （16）</w:t>
      </w:r>
    </w:p>
    <w:p>
      <w:pPr>
        <w:pStyle w:val="PaperBody"/>
        <w:widowControl/>
      </w:pPr>
      <w:r>
        <w:t>式（16）仅用于预算紧且可行区间非空的情形；若 K&lt;N_min D_min 则不可行。该推导同时说明内点 N、D 对预算的弹性分别为 0.451522、0.548478。表7给出参考上下文 2048、质量收益与配比运输均关闭时的三个代表配置。</w:t>
      </w:r>
    </w:p>
    <w:p>
      <w:pPr>
        <w:pStyle w:val="PaperCaption"/>
        <w:keepNext/>
        <w:widowControl/>
      </w:pPr>
      <w:r>
        <w:t>表7 题设预算下的基线资源配置</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预算 C FLOPs</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N* 十亿参数</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D* 十亿token</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 Loss</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约束状态</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10¹⁹</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0.221309</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7.049698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2.998935</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预算紧约束</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10²²</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5.202388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2.143211</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D支持上界活跃</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10²⁴</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11.965825</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299.893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2.093379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两支持上界活跃，预算闲置</w:t>
            </w:r>
          </w:p>
        </w:tc>
      </w:tr>
    </w:tbl>
    <w:p>
      <w:pPr>
        <w:pStyle w:val="PaperBody"/>
        <w:widowControl/>
      </w:pPr>
      <w:r>
        <w:t>51 个预算点、每点四个 SLSQP 初值共 204 次对照均成功，数值解与解析解的最大目标差为 4.86×10⁻¹³，最大投影 KKT 残差为 2.78×10⁻¹⁷。它们核验了既定条件问题的求解精度，不替代目标函数的外部有效性验证。</w:t>
      </w:r>
    </w:p>
    <w:p>
      <w:pPr>
        <w:pStyle w:val="PaperBody"/>
        <w:widowControl/>
      </w:pPr>
      <w:r>
        <w:t>定义结构转移为最优配置的活跃约束集合改变，而不把平滑比例变化直接称为质变。图5显示，预算约 9.325359×10²¹ 时 D 首先触及 299.893 的支持上界；之后主要增加 N，约 2.300064×10²² 时两支持上界同时活跃。预算再增加时模型内 Loss 保持 2.093379，10²⁴ 预算仅使用约 2.3001%。这一平台由统计支持约束产生，绝不意味着现实中数据达到约 300B 后继续增加就没有价值。</w:t>
      </w:r>
    </w:p>
    <w:p>
      <w:pPr>
        <w:pStyle w:val="PaperCaption"/>
        <w:keepNext/>
        <w:widowControl/>
      </w:pPr>
      <w:r>
        <w:drawing>
          <wp:inline xmlns:a="http://schemas.openxmlformats.org/drawingml/2006/main">
            <wp:extent cx="4608000" cy="4087742"/>
            <wp:docPr id="9" name="Picture 9"/>
            <wp:cNvGraphicFramePr>
              <a:graphicFrameLocks noChangeAspect="1"/>
            </wp:cNvGraphicFramePr>
            <a:graphic>
              <a:graphicData uri="http://schemas.openxmlformats.org/drawingml/2006/picture">
                <pic:pic>
                  <pic:nvPicPr>
                    <pic:cNvPr id="0" name="FIG-Q3-R6-001.png"/>
                    <pic:cNvPicPr/>
                  </pic:nvPicPr>
                  <pic:blipFill>
                    <a:blip r:embed="rId22"/>
                    <a:stretch>
                      <a:fillRect/>
                    </a:stretch>
                  </pic:blipFill>
                  <pic:spPr>
                    <a:xfrm>
                      <a:off x="0" y="0"/>
                      <a:ext cx="4608000" cy="4087742"/>
                    </a:xfrm>
                    <a:prstGeom prst="rect"/>
                  </pic:spPr>
                </pic:pic>
              </a:graphicData>
            </a:graphic>
          </wp:inline>
        </w:drawing>
      </w:r>
    </w:p>
    <w:p>
      <w:pPr>
        <w:pStyle w:val="PaperCaption"/>
        <w:widowControl/>
      </w:pPr>
      <w:r>
        <w:t>图5 参考上下文下的预算配置及Loss路径。高预算平台反映统计支持上限，非真实训练收益终极饱和。</w:t>
      </w:r>
    </w:p>
    <w:p>
      <w:pPr>
        <w:pStyle w:val="PaperH2"/>
        <w:widowControl/>
      </w:pPr>
      <w:r>
        <w:t>7.3 质量成本选择与投入门槛</w:t>
      </w:r>
    </w:p>
    <w:p>
      <w:pPr>
        <w:pStyle w:val="PaperBody"/>
        <w:widowControl/>
      </w:pPr>
      <w:r>
        <w:t>情景目标为 L_B−h_Q(Q−0.5)，Q∈[0.5,1]，h_Q 取 B7 校准幅度的 0、0.5、1、1.5 倍。它把明确假定的质量收益接到题设成本上，全部属于条件情景。固定 Q 时，由 D=min(D_max,c/[kN+r(Q)]) 消元；在预算紧段，N 满足：</w:t>
      </w:r>
    </w:p>
    <w:p>
      <w:pPr>
        <w:pStyle w:val="PaperEquation"/>
        <w:keepNext w:val="0"/>
        <w:widowControl/>
        <w:spacing w:before="100" w:after="100"/>
      </w:pPr>
      <m:oMath xmlns:m="http://schemas.openxmlformats.org/officeDocument/2006/math" xmlns:mml="http://www.w3.org/1998/Math/MathML">
        <m:r>
          <m:t>−αA</m:t>
        </m:r>
        <m:sSup>
          <m:e>
            <m:r>
              <m:t>N</m:t>
            </m:r>
          </m:e>
          <m:sup>
            <m:r>
              <m:t>−α</m:t>
            </m:r>
          </m:sup>
        </m:sSup>
        <m:r>
          <m:t>+βB</m:t>
        </m:r>
        <m:sSup>
          <m:e>
            <m:r>
              <m:t>(</m:t>
            </m:r>
            <m:f>
              <m:fPr>
                <m:type m:val="bar"/>
              </m:fPr>
              <m:num>
                <m:r>
                  <m:t>kN+r</m:t>
                </m:r>
              </m:num>
              <m:den>
                <m:r>
                  <m:t>c</m:t>
                </m:r>
              </m:den>
            </m:f>
            <m:r>
              <m:t>)</m:t>
            </m:r>
          </m:e>
          <m:sup>
            <m:r>
              <m:t>β</m:t>
            </m:r>
          </m:sup>
        </m:sSup>
        <m:f>
          <m:fPr>
            <m:type m:val="bar"/>
          </m:fPr>
          <m:num>
            <m:r>
              <m:t>kN</m:t>
            </m:r>
          </m:num>
          <m:den>
            <m:r>
              <m:t>kN+r</m:t>
            </m:r>
          </m:den>
        </m:f>
        <m:r>
          <m:t>=0.</m:t>
        </m:r>
      </m:oMath>
      <w:r>
        <w:t xml:space="preserve">    （17）</w:t>
      </w:r>
    </w:p>
    <w:p>
      <w:pPr>
        <w:pStyle w:val="PaperBody"/>
        <w:widowControl/>
      </w:pPr>
      <w:r>
        <w:t>左侧负项随 N 增大而趋近零，正项严格递增，故固定 Q 只有一个内点解或边界解。外层质量问题可能非凸：先检查端点和 101 个固定网格点的所有局部谷，再作区间精化，并以 201 点加密及每情景三个 SLSQP 初值核对。</w:t>
      </w:r>
    </w:p>
    <w:p>
      <w:pPr>
        <w:pStyle w:val="PaperBody"/>
        <w:widowControl/>
      </w:pPr>
      <w:r>
        <w:t>表8对比 10¹⁹ 预算、2048 上下文和参考收益 h_Q=0.361995 下的结果。图6展示完整条件投入路径。成本形式改变机会成本，因而即使采用相同收益假设，也可能给出几乎不投入、中等投入或直接投向上界的不同质量选择。</w:t>
      </w:r>
    </w:p>
    <w:p>
      <w:pPr>
        <w:pStyle w:val="PaperCaption"/>
        <w:keepNext/>
        <w:widowControl/>
      </w:pPr>
      <w:r>
        <w:t>表8 相同收益假设下的三类质量成本比较</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成本形式</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N*</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D*</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Q*</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 Loss</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指数型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0.276246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4.666434</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0.674774</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2.980638</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幂函数型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0.224408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6.869602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0.506789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2.998908</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对数型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0.361029</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2.835817</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1.000000</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2.935776</w:t>
            </w:r>
          </w:p>
        </w:tc>
      </w:tr>
    </w:tbl>
    <w:p>
      <w:pPr>
        <w:pStyle w:val="PaperCaption"/>
        <w:keepNext/>
        <w:widowControl/>
      </w:pPr>
      <w:r>
        <w:drawing>
          <wp:inline xmlns:a="http://schemas.openxmlformats.org/drawingml/2006/main">
            <wp:extent cx="4608000" cy="4087742"/>
            <wp:docPr id="10" name="Picture 10"/>
            <wp:cNvGraphicFramePr>
              <a:graphicFrameLocks noChangeAspect="1"/>
            </wp:cNvGraphicFramePr>
            <a:graphic>
              <a:graphicData uri="http://schemas.openxmlformats.org/drawingml/2006/picture">
                <pic:pic>
                  <pic:nvPicPr>
                    <pic:cNvPr id="0" name="FIG-Q3-R6-002.png"/>
                    <pic:cNvPicPr/>
                  </pic:nvPicPr>
                  <pic:blipFill>
                    <a:blip r:embed="rId23"/>
                    <a:stretch>
                      <a:fillRect/>
                    </a:stretch>
                  </pic:blipFill>
                  <pic:spPr>
                    <a:xfrm>
                      <a:off x="0" y="0"/>
                      <a:ext cx="4608000" cy="4087742"/>
                    </a:xfrm>
                    <a:prstGeom prst="rect"/>
                  </pic:spPr>
                </pic:pic>
              </a:graphicData>
            </a:graphic>
          </wp:inline>
        </w:drawing>
      </w:r>
    </w:p>
    <w:p>
      <w:pPr>
        <w:pStyle w:val="PaperCaption"/>
        <w:widowControl/>
      </w:pPr>
      <w:r>
        <w:t>图6 不同质量成本下的条件配置路径。收益假设来自半合成质量校准，曲线不是实测投资回报。</w:t>
      </w:r>
    </w:p>
    <w:p>
      <w:pPr>
        <w:pStyle w:val="PaperBody"/>
        <w:widowControl/>
      </w:pPr>
      <w:r>
        <w:t>μ 为归一预算的正乘子。小幅提高质量的局部启动条件为 h_Q&gt;μD r′(Q0)，但在非凸问题中它不能决定有限幅度投入是否划算。令 L_ND*(c,Q) 为给定 Q 时尚未扣除质量收益的最小基线 Loss，全局启动阈值为：</w:t>
      </w:r>
    </w:p>
    <w:p>
      <w:pPr>
        <w:pStyle w:val="PaperEquation"/>
        <w:keepNext w:val="0"/>
        <w:widowControl/>
        <w:spacing w:before="100" w:after="100"/>
      </w:pPr>
      <m:oMath xmlns:m="http://schemas.openxmlformats.org/officeDocument/2006/math" xmlns:mml="http://www.w3.org/1998/Math/MathML">
        <m:sSub>
          <m:e>
            <m:r>
              <m:t>h</m:t>
            </m:r>
          </m:e>
          <m:sub>
            <m:r>
              <m:rPr>
                <m:sty m:val="p"/>
              </m:rPr>
              <m:t>crit</m:t>
            </m:r>
          </m:sub>
        </m:sSub>
        <m:r>
          <m:t>(c)=</m:t>
        </m:r>
        <m:sSub>
          <m:e>
            <m:r>
              <m:t>inf</m:t>
            </m:r>
          </m:e>
          <m:sub>
            <m:r>
              <m:t>Q&gt;</m:t>
            </m:r>
            <m:sSub>
              <m:e>
                <m:r>
                  <m:t>Q</m:t>
                </m:r>
              </m:e>
              <m:sub>
                <m:r>
                  <m:t>0</m:t>
                </m:r>
              </m:sub>
            </m:sSub>
          </m:sub>
        </m:sSub>
        <m:f>
          <m:fPr>
            <m:type m:val="bar"/>
          </m:fPr>
          <m:num>
            <m:sSubSup>
              <m:e>
                <m:r>
                  <m:t>L</m:t>
                </m:r>
              </m:e>
              <m:sub>
                <m:r>
                  <m:t>ND</m:t>
                </m:r>
              </m:sub>
              <m:sup>
                <m:r>
                  <m:t>*</m:t>
                </m:r>
              </m:sup>
            </m:sSubSup>
            <m:r>
              <m:t>(c,Q)−</m:t>
            </m:r>
            <m:sSubSup>
              <m:e>
                <m:r>
                  <m:t>L</m:t>
                </m:r>
              </m:e>
              <m:sub>
                <m:r>
                  <m:t>ND</m:t>
                </m:r>
              </m:sub>
              <m:sup>
                <m:r>
                  <m:t>*</m:t>
                </m:r>
              </m:sup>
            </m:sSubSup>
            <m:r>
              <m:t>(c,</m:t>
            </m:r>
            <m:sSub>
              <m:e>
                <m:r>
                  <m:t>Q</m:t>
                </m:r>
              </m:e>
              <m:sub>
                <m:r>
                  <m:t>0</m:t>
                </m:r>
              </m:sub>
            </m:sSub>
            <m:r>
              <m:t>)</m:t>
            </m:r>
          </m:num>
          <m:den>
            <m:r>
              <m:t>Q−</m:t>
            </m:r>
            <m:sSub>
              <m:e>
                <m:r>
                  <m:t>Q</m:t>
                </m:r>
              </m:e>
              <m:sub>
                <m:r>
                  <m:t>0</m:t>
                </m:r>
              </m:sub>
            </m:sSub>
          </m:den>
        </m:f>
        <m:r>
          <m:t>.</m:t>
        </m:r>
      </m:oMath>
      <w:r>
        <w:t xml:space="preserve">    （18）</w:t>
      </w:r>
    </w:p>
    <w:p>
      <w:pPr>
        <w:pStyle w:val="PaperBody"/>
        <w:widowControl/>
      </w:pPr>
      <w:r>
        <w:t>候选包括 Q 趋于 Q0 的极限。10¹⁹ 预算下，对数成本的局部门槛为 0.472240，全局门槛为 0.235678；参考收益 0.361995 介于二者之间，因此小幅投入不优，直接投向 Q=1 却可能更优。1377 个条件配置的 4131 个数值起点中，17 个落入较差局部解，4 个线搜索失败；每个配置仍至少有一个成功解与嵌套结果一致，最坏差 1.29×10⁻¹²。失败起点保留在输出中，不将此比较写成任意非凸函数的形式全局证明。</w:t>
      </w:r>
    </w:p>
    <w:p>
      <w:pPr>
        <w:pStyle w:val="PaperH2"/>
        <w:widowControl/>
      </w:pPr>
      <w:r>
        <w:t>7.4 局部配比与可实施边界</w:t>
      </w:r>
    </w:p>
    <w:p>
      <w:pPr>
        <w:pStyle w:val="PaperBody"/>
        <w:widowControl/>
      </w:pPr>
      <w:r>
        <w:t>Q1 的有效配比证据主要来自 1M，60M 仅部分迁移；B1 的最小规模为 70.542M，且 1B 迁移已经失败。因此主资源优化中 k_s=0，不能声称求得了可信的跨来源 N–D–Q–p 联合最优。</w:t>
      </w:r>
    </w:p>
    <w:p>
      <w:pPr>
        <w:pStyle w:val="PaperBody"/>
        <w:widowControl/>
      </w:pPr>
      <w:r>
        <w:t>另在 A 来源中比较 513 个有限候选：训练平均配比 p̄，以及 p̄ 与每个训练配比的中点。每个候选都有明确非负凸组合权重，处于观测凸包内；仍检查 13 域响应，不仅检查平均 Loss。最小平均响应候选的中心化变化约 −0.353773，但仅 10 域改善、3 域恶化。它是给定候选集和 1M 关联模型内的条件选择，现实供应尚未核实，不能宣布为可部署配方或接到 B1 绝对 Loss 上。</w:t>
      </w:r>
    </w:p>
    <w:p>
      <w:pPr>
        <w:pStyle w:val="PaperH2"/>
        <w:widowControl/>
      </w:pPr>
      <w:r>
        <w:t>7.5 上下文成本与解析交点</w:t>
      </w:r>
    </w:p>
    <w:p>
      <w:pPr>
        <w:pStyle w:val="PaperBody"/>
        <w:widowControl/>
      </w:pPr>
      <w:r>
        <w:t>C7 的架构元数据给出 2048、4096、8192、32768、131072 五档最大上下文。它们作为外生成本情景，不解释为所有模型真实采用的训练窗口。题设代理直接给出：</w:t>
      </w:r>
    </w:p>
    <w:p>
      <w:pPr>
        <w:pStyle w:val="PaperEquation"/>
        <w:keepNext w:val="0"/>
        <w:widowControl/>
        <w:spacing w:before="100" w:after="100"/>
      </w:pPr>
      <m:oMath xmlns:m="http://schemas.openxmlformats.org/officeDocument/2006/math" xmlns:mml="http://www.w3.org/1998/Math/MathML">
        <m:f>
          <m:fPr>
            <m:type m:val="bar"/>
          </m:fPr>
          <m:num>
            <m:sSub>
              <m:e>
                <m:r>
                  <m:t>C</m:t>
                </m:r>
              </m:e>
              <m:sub>
                <m:r>
                  <m:rPr>
                    <m:sty m:val="p"/>
                  </m:rPr>
                  <m:t>attn</m:t>
                </m:r>
              </m:sub>
            </m:sSub>
          </m:num>
          <m:den>
            <m:sSub>
              <m:e>
                <m:r>
                  <m:t>C</m:t>
                </m:r>
              </m:e>
              <m:sub>
                <m:r>
                  <m:rPr>
                    <m:sty m:val="p"/>
                  </m:rPr>
                  <m:t>train</m:t>
                </m:r>
              </m:sub>
            </m:sSub>
          </m:den>
        </m:f>
        <m:r>
          <m:t>=</m:t>
        </m:r>
        <m:f>
          <m:fPr>
            <m:type m:val="bar"/>
          </m:fPr>
          <m:num>
            <m:r>
              <m:t>η</m:t>
            </m:r>
            <m:sSub>
              <m:e>
                <m:r>
                  <m:t>L</m:t>
                </m:r>
              </m:e>
              <m:sub>
                <m:r>
                  <m:rPr>
                    <m:sty m:val="p"/>
                  </m:rPr>
                  <m:t>ctx</m:t>
                </m:r>
              </m:sub>
            </m:sSub>
          </m:num>
          <m:den>
            <m:r>
              <m:t>6</m:t>
            </m:r>
          </m:den>
        </m:f>
        <m:r>
          <m:t>,</m:t>
        </m:r>
        <m:sSub>
          <m:e>
            <m:r>
              <m:t>L</m:t>
            </m:r>
          </m:e>
          <m:sub>
            <m:r>
              <m:rPr>
                <m:sty m:val="p"/>
              </m:rPr>
              <m:t>crit</m:t>
            </m:r>
          </m:sub>
        </m:sSub>
        <m:r>
          <m:t>=</m:t>
        </m:r>
        <m:f>
          <m:fPr>
            <m:type m:val="bar"/>
          </m:fPr>
          <m:num>
            <m:r>
              <m:t>6</m:t>
            </m:r>
          </m:num>
          <m:den>
            <m:r>
              <m:t>η</m:t>
            </m:r>
          </m:den>
        </m:f>
        <m:r>
          <m:t>=30000.</m:t>
        </m:r>
      </m:oMath>
      <w:r>
        <w:t xml:space="preserve">    （19）</w:t>
      </w:r>
    </w:p>
    <w:p>
      <w:pPr>
        <w:pStyle w:val="PaperBody"/>
        <w:widowControl/>
      </w:pPr>
      <w:r>
        <w:t>30000 是两个成本项相等的解析位置，不是实测训练阈值；固定上下文时该比例不随预算改变。10¹⁹ 预算下，上下文由 2048 增至 131072，基线 N 从 0.221309 降至 0.106754、D 从 7.049698 降至 2.907819、Loss 从 2.998935 升至 3.367161。这是只计成本的比较，目标函数没有独立的长上下文能力收益项，因而不能直接据此建议缩短真实系统的上下文。</w:t>
      </w:r>
    </w:p>
    <w:p>
      <w:pPr>
        <w:pStyle w:val="PaperH2"/>
        <w:widowControl/>
      </w:pPr>
      <w:r>
        <w:t>7.6 影子价格与不确定性</w:t>
      </w:r>
    </w:p>
    <w:p>
      <w:pPr>
        <w:pStyle w:val="PaperBody"/>
        <w:widowControl/>
      </w:pPr>
      <w:r>
        <w:t>归一预算的边际价值满足 dL*/dC=−μ/10¹⁸。内点 μ=αU/c=βV/c；D 上界活跃而 N 可变时为 αU/c；两支持上界且预算松弛时为零。这不是现实算力的市场价格。支持界放宽可能有正边际收益，但域外预测需要新的证据，不能将局部导数视为外部性能保证。</w:t>
      </w:r>
    </w:p>
    <w:p>
      <w:pPr>
        <w:pStyle w:val="PaperBody"/>
        <w:widowControl/>
      </w:pPr>
      <w:r>
        <w:t>保留 Q2 的 200 个联合五参数向量，以五档上下文和 51 个预算传播，共得到 51000 个条件配置。没有把各参数的边际区间独立组合。图7分开显示参数数值敏感性和收益机制情景范围。例如参考低预算的参数条件区间约为 N∈[0.221249,0.221387]、D∈[7.047196,7.051612]、Loss∈[2.998852,2.998986]；很窄是附件规则曲面的结果。质量、成本和配比情景包络不具有抽样置信区间含义，两类范围均不覆盖全部来源与模型错误。</w:t>
      </w:r>
    </w:p>
    <w:p>
      <w:pPr>
        <w:pStyle w:val="PaperCaption"/>
        <w:keepNext/>
        <w:widowControl/>
      </w:pPr>
      <w:r>
        <w:drawing>
          <wp:inline xmlns:a="http://schemas.openxmlformats.org/drawingml/2006/main">
            <wp:extent cx="4608000" cy="4087742"/>
            <wp:docPr id="11" name="Picture 11"/>
            <wp:cNvGraphicFramePr>
              <a:graphicFrameLocks noChangeAspect="1"/>
            </wp:cNvGraphicFramePr>
            <a:graphic>
              <a:graphicData uri="http://schemas.openxmlformats.org/drawingml/2006/picture">
                <pic:pic>
                  <pic:nvPicPr>
                    <pic:cNvPr id="0" name="FIG-Q3-R6-005.png"/>
                    <pic:cNvPicPr/>
                  </pic:nvPicPr>
                  <pic:blipFill>
                    <a:blip r:embed="rId24"/>
                    <a:stretch>
                      <a:fillRect/>
                    </a:stretch>
                  </pic:blipFill>
                  <pic:spPr>
                    <a:xfrm>
                      <a:off x="0" y="0"/>
                      <a:ext cx="4608000" cy="4087742"/>
                    </a:xfrm>
                    <a:prstGeom prst="rect"/>
                  </pic:spPr>
                </pic:pic>
              </a:graphicData>
            </a:graphic>
          </wp:inline>
        </w:drawing>
      </w:r>
    </w:p>
    <w:p>
      <w:pPr>
        <w:pStyle w:val="PaperCaption"/>
        <w:widowControl/>
      </w:pPr>
      <w:r>
        <w:t>图7 联合参数传播与机制情景范围。参数条件分位和情景包络分别解释，不把两者合称95%置信区间。</w:t>
      </w:r>
    </w:p>
    <w:p>
      <w:pPr>
        <w:pStyle w:val="PaperH1"/>
        <w:widowControl/>
      </w:pPr>
      <w:r>
        <w:t>8 问题四 能力前沿分解与条件预测</w:t>
      </w:r>
    </w:p>
    <w:p>
      <w:pPr>
        <w:pStyle w:val="PaperH2"/>
        <w:widowControl/>
      </w:pPr>
      <w:r>
        <w:t>8.1 同口径能力与研究样本</w:t>
      </w:r>
    </w:p>
    <w:p>
      <w:pPr>
        <w:pStyle w:val="PaperBody"/>
        <w:widowControl/>
      </w:pPr>
      <w:r>
        <w:t>资源投入改变训练 Loss，但不能无条件转换成多任务能力。问题四直接使用 C8 逐任务评测和 C1 模型身份、参数信息，C9 用于可下载及异常标记筛选。主样本要求完整模型 ID 一致、参数量差异不超过 2%、六维任务完整、已报告许可证且模型可用、未标记异常，得到 853 条模型记录；其中基础预训练模型 92 条、对话或微调模型 539 条、合并模型 221 条、其他 1 条。该许可证筛选仅为开放权重研究可用代理，并不等于严格开源认证，严格许可口径另作敏感性分析。</w:t>
      </w:r>
    </w:p>
    <w:p>
      <w:pPr>
        <w:pStyle w:val="PaperBody"/>
        <w:widowControl/>
      </w:pPr>
      <w:r>
        <w:t>使用评测文件日期而不是将提交日、发布日期互相填补。C1 中 81 个重复 ID 对应的 162 行整组排除；C8 的 1958 个文件中 4 个截断文件保留记录但不解析。每个模型目录取最新可解析记录。C2 只提供辅助日期，不重复增加样本。C3 更早历史分数与主分析六维口径不一致，不拼接成更长的同口径时间序列。C4 的数据、算力及开放权重字段用于匹配和审计，但可用训练 D 稀少且混有后训练或估计口径，不能补出全样本训练量。</w:t>
      </w:r>
    </w:p>
    <w:p>
      <w:pPr>
        <w:pStyle w:val="PaperBody"/>
        <w:widowControl/>
      </w:pPr>
      <w:r>
        <w:t>令 b_ik 为模型 i 的六类原始任务得分，综合能力采用等权平均。IFEval 取两种 strict 准确率平均；BBH、GPQA、MUSR 取组 acc_norm；MATH 取 exact_match；MMLU-PRO 取 acc。它与 C1 的归一化 Average 不同。</w:t>
      </w:r>
    </w:p>
    <w:p>
      <w:pPr>
        <w:pStyle w:val="PaperEquation"/>
        <w:keepNext w:val="0"/>
        <w:widowControl/>
        <w:spacing w:before="100" w:after="100"/>
      </w:pPr>
      <m:oMath xmlns:m="http://schemas.openxmlformats.org/officeDocument/2006/math" xmlns:mml="http://www.w3.org/1998/Math/MathML">
        <m:sSub>
          <m:e>
            <m:r>
              <m:t>y</m:t>
            </m:r>
          </m:e>
          <m:sub>
            <m:r>
              <m:t>i</m:t>
            </m:r>
          </m:sub>
        </m:sSub>
        <m:r>
          <m:t>=</m:t>
        </m:r>
        <m:f>
          <m:fPr>
            <m:type m:val="bar"/>
          </m:fPr>
          <m:num>
            <m:r>
              <m:t>1</m:t>
            </m:r>
          </m:num>
          <m:den>
            <m:r>
              <m:t>6</m:t>
            </m:r>
          </m:den>
        </m:f>
        <m:nary>
          <m:naryPr>
            <m:chr m:val="∑"/>
            <m:limLoc m:val="subSup"/>
            <m:grow m:val="1"/>
            <m:subHide m:val="off"/>
            <m:supHide m:val="off"/>
          </m:naryPr>
          <m:sub>
            <m:r>
              <m:t>k=1</m:t>
            </m:r>
          </m:sub>
          <m:sup>
            <m:r>
              <m:t>6</m:t>
            </m:r>
          </m:sup>
          <m:e>
            <m:sSub>
              <m:e>
                <m:r>
                  <m:t>b</m:t>
                </m:r>
              </m:e>
              <m:sub>
                <m:r>
                  <m:t>ik</m:t>
                </m:r>
              </m:sub>
            </m:sSub>
          </m:e>
        </m:nary>
        <m:r>
          <m:t>,</m:t>
        </m:r>
        <m:sSub>
          <m:e>
            <m:r>
              <m:t>F</m:t>
            </m:r>
          </m:e>
          <m:sub>
            <m:r>
              <m:t>t</m:t>
            </m:r>
          </m:sub>
        </m:sSub>
        <m:r>
          <m:t>=</m:t>
        </m:r>
        <m:sSub>
          <m:e>
            <m:r>
              <m:t>Q</m:t>
            </m:r>
          </m:e>
          <m:sub>
            <m:r>
              <m:t>0.90</m:t>
            </m:r>
          </m:sub>
        </m:sSub>
        <m:r>
          <m:t>{</m:t>
        </m:r>
        <m:sSub>
          <m:e>
            <m:r>
              <m:t>y</m:t>
            </m:r>
          </m:e>
          <m:sub>
            <m:r>
              <m:t>i</m:t>
            </m:r>
          </m:sub>
        </m:sSub>
        <m:r>
          <m:t>:t−28</m:t>
        </m:r>
        <m:r>
          <m:rPr>
            <m:nor/>
          </m:rPr>
          <m:t>天</m:t>
        </m:r>
        <m:r>
          <m:t>&lt;</m:t>
        </m:r>
        <m:sSub>
          <m:e>
            <m:r>
              <m:t>t</m:t>
            </m:r>
          </m:e>
          <m:sub>
            <m:r>
              <m:t>i</m:t>
            </m:r>
          </m:sub>
        </m:sSub>
        <m:r>
          <m:t>≤t}.</m:t>
        </m:r>
      </m:oMath>
      <w:r>
        <w:t xml:space="preserve">    （20）</w:t>
      </w:r>
    </w:p>
    <w:p>
      <w:pPr>
        <w:pStyle w:val="PaperBody"/>
        <w:widowControl/>
      </w:pPr>
      <w:r>
        <w:t>每窗至少 15 个模型，采用线性插值分位数；周末取端点，末次评测日另保留终点。F_t 是高表现评测群体的稳健代表，可以因群体组成而下降，不是全生态累计最高分。2024-06-16 至 2025-03-14 的端点由 36.45307 升至 52.33272，增量 15.87965 分。六个任务的端点前沿均提高，但幅度不等。原始任务聚合防止把归一化总分变化误当成相同的能力刻度。</w:t>
      </w:r>
    </w:p>
    <w:p>
      <w:pPr>
        <w:pStyle w:val="PaperH2"/>
        <w:widowControl/>
      </w:pPr>
      <w:r>
        <w:t>8.2 Loss与能力分数桥接未通过</w:t>
      </w:r>
    </w:p>
    <w:p>
      <w:pPr>
        <w:pStyle w:val="PaperBody"/>
        <w:widowControl/>
      </w:pPr>
      <w:r>
        <w:t>C6 为主桥接表，C5 仅作嵌套对照，75 行与 43 行不相加。附件仅将七个 Pythia 模型列为高可比，且属于同一家族；即使其 Loss 与 B1 末检查点一致，外部验证语料、tokenizer 和配对时点也未完全核实。表9给出高可比组的留一规模结果，比较线性、单调插值和均值基准。</w:t>
      </w:r>
    </w:p>
    <w:p>
      <w:pPr>
        <w:pStyle w:val="PaperCaption"/>
        <w:keepNext/>
        <w:widowControl/>
      </w:pPr>
      <w:r>
        <w:t>表9 高可比桥接组的留一规模预测误差</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桥接方法</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RMSE</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检验对象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均值基准</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0.424448</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七个高可比规模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线性桥接</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0.552834</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七个高可比规模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单调插值</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0.436635</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七个高可比规模</w:t>
            </w:r>
          </w:p>
        </w:tc>
      </w:tr>
    </w:tbl>
    <w:p>
      <w:pPr>
        <w:pStyle w:val="PaperBody"/>
        <w:widowControl/>
      </w:pPr>
      <w:r>
        <w:t>两类桥接都未在此检验中优于均值基准，端部规模留出也未全面通过。仅一个高可比家族无法进行留一家族验证，没有成对日期也无法进行时间留出。七个名称虽能在 C8 找到，同时满足冻结的 C1 参数一致性要求的仅两条，不足以建立主分析 raw6 量尺的合格桥接。</w:t>
      </w:r>
    </w:p>
    <w:p>
      <w:pPr>
        <w:pStyle w:val="PaperBody"/>
        <w:widowControl/>
      </w:pPr>
      <w:r>
        <w:t>因此正式结论为无可靠的 Loss–Benchmark 定量桥接。问题二、三的 Loss 保留原附件单位，仅作为资源变化的机制参考；后续能力预测在 C8 分数空间直接完成。桥接失败是对结果运输的限制，不通过另挑样本或改名为“弱映射”消除。</w:t>
      </w:r>
    </w:p>
    <w:p>
      <w:pPr>
        <w:pStyle w:val="PaperH2"/>
        <w:widowControl/>
      </w:pPr>
      <w:r>
        <w:t>8.3 参数规模关联与剩余性能分量</w:t>
      </w:r>
    </w:p>
    <w:p>
      <w:pPr>
        <w:pStyle w:val="PaperBody"/>
        <w:widowControl/>
      </w:pPr>
      <w:r>
        <w:t>训练 D 的主样本可用记录仅九条且口径混杂，完整 N–D 贡献无法识别。用含类型和家族效应的回归描述参数关联；未知家族保留并显式编码，不推断合并模型的血缘。</w:t>
      </w:r>
    </w:p>
    <w:p>
      <w:pPr>
        <w:pStyle w:val="PaperEquation"/>
        <w:keepNext w:val="0"/>
        <w:widowControl/>
        <w:spacing w:before="100" w:after="100"/>
      </w:pPr>
      <m:oMath xmlns:m="http://schemas.openxmlformats.org/officeDocument/2006/math" xmlns:mml="http://www.w3.org/1998/Math/MathML">
        <m:sSub>
          <m:e>
            <m:r>
              <m:t>y</m:t>
            </m:r>
          </m:e>
          <m:sub>
            <m:r>
              <m:t>i</m:t>
            </m:r>
          </m:sub>
        </m:sSub>
        <m:r>
          <m:t>=a+</m:t>
        </m:r>
        <m:sSub>
          <m:e>
            <m:r>
              <m:t>θ</m:t>
            </m:r>
          </m:e>
          <m:sub>
            <m:r>
              <m:t>N</m:t>
            </m:r>
          </m:sub>
        </m:sSub>
        <m:r>
          <m:rPr>
            <m:sty m:val="p"/>
          </m:rPr>
          <m:t>log</m:t>
        </m:r>
        <m:sSub>
          <m:e>
            <m:r>
              <m:t>N</m:t>
            </m:r>
          </m:e>
          <m:sub>
            <m:r>
              <m:t>i</m:t>
            </m:r>
          </m:sub>
        </m:sSub>
        <m:r>
          <m:t>+γ</m:t>
        </m:r>
        <m:sSub>
          <m:e>
            <m:r>
              <m:t>t</m:t>
            </m:r>
          </m:e>
          <m:sub>
            <m:r>
              <m:t>i</m:t>
            </m:r>
          </m:sub>
        </m:sSub>
        <m:r>
          <m:t>+</m:t>
        </m:r>
        <m:sSub>
          <m:e>
            <m:r>
              <m:t>δ</m:t>
            </m:r>
          </m:e>
          <m:sub>
            <m:r>
              <m:rPr>
                <m:sty m:val="p"/>
              </m:rPr>
              <m:t>type</m:t>
            </m:r>
            <m:r>
              <m:t>(i)</m:t>
            </m:r>
          </m:sub>
        </m:sSub>
        <m:r>
          <m:t>+</m:t>
        </m:r>
        <m:sSub>
          <m:e>
            <m:r>
              <m:t>ξ</m:t>
            </m:r>
          </m:e>
          <m:sub>
            <m:r>
              <m:rPr>
                <m:sty m:val="p"/>
              </m:rPr>
              <m:t>family</m:t>
            </m:r>
            <m:r>
              <m:t>(i)</m:t>
            </m:r>
          </m:sub>
        </m:sSub>
        <m:r>
          <m:t>+</m:t>
        </m:r>
        <m:sSub>
          <m:e>
            <m:r>
              <m:t>ϵ</m:t>
            </m:r>
          </m:e>
          <m:sub>
            <m:r>
              <m:t>i</m:t>
            </m:r>
          </m:sub>
        </m:sSub>
        <m:r>
          <m:t>.</m:t>
        </m:r>
      </m:oMath>
      <w:r>
        <w:t xml:space="preserve">    （21）</w:t>
      </w:r>
    </w:p>
    <w:p>
      <w:pPr>
        <w:pStyle w:val="PaperBody"/>
        <w:widowControl/>
      </w:pPr>
      <w:r>
        <w:t>式（21）中的时间以年计。θ_N 是对参数规模的关联系数，区别于标度律中的 β。对产生 F_t 的两个排序邻点使用完全相同的分位插值权重 w_it，定义 S_t=θ_NΣ_i w_it log N_i，R_t=F_t−S_t。权重只在相应两个点非零，合为 1，故端点分解满足恒等式：</w:t>
      </w:r>
    </w:p>
    <w:p>
      <w:pPr>
        <w:pStyle w:val="PaperEquation"/>
        <w:keepNext w:val="0"/>
        <w:widowControl/>
        <w:spacing w:before="100" w:after="100"/>
      </w:pPr>
      <m:oMath xmlns:m="http://schemas.openxmlformats.org/officeDocument/2006/math" xmlns:mml="http://www.w3.org/1998/Math/MathML">
        <m:r>
          <m:t>ΔF=ΔS+ΔR,</m:t>
        </m:r>
        <m:sSub>
          <m:e>
            <m:r>
              <m:t>π</m:t>
            </m:r>
          </m:e>
          <m:sub>
            <m:r>
              <m:t>N</m:t>
            </m:r>
          </m:sub>
        </m:sSub>
        <m:r>
          <m:t>=</m:t>
        </m:r>
        <m:f>
          <m:fPr>
            <m:type m:val="bar"/>
          </m:fPr>
          <m:num>
            <m:r>
              <m:t>ΔS</m:t>
            </m:r>
          </m:num>
          <m:den>
            <m:r>
              <m:t>ΔF</m:t>
            </m:r>
          </m:den>
        </m:f>
        <m:r>
          <m:t>,</m:t>
        </m:r>
        <m:sSub>
          <m:e>
            <m:r>
              <m:t>π</m:t>
            </m:r>
          </m:e>
          <m:sub>
            <m:r>
              <m:t>R</m:t>
            </m:r>
          </m:sub>
        </m:sSub>
        <m:r>
          <m:t>=1−</m:t>
        </m:r>
        <m:sSub>
          <m:e>
            <m:r>
              <m:t>π</m:t>
            </m:r>
          </m:e>
          <m:sub>
            <m:r>
              <m:t>N</m:t>
            </m:r>
          </m:sub>
        </m:sSub>
        <m:r>
          <m:t>.</m:t>
        </m:r>
      </m:oMath>
      <w:r>
        <w:t xml:space="preserve">    （22）</w:t>
      </w:r>
    </w:p>
    <w:p>
      <w:pPr>
        <w:pStyle w:val="PaperBody"/>
        <w:widowControl/>
      </w:pPr>
      <w:r>
        <w:t>主规格 θ_N=4.595943，得到参数关联增量 2.703245 分、调整残差增量 13.176404 分，对应 17.0233% 和 82.9767%。残差同时包含未观测训练 token、算法、数据、架构、对齐与微调、家族组成和选择噪声，不能解释为“82.98%由技术创新因果造成”。图8展示历史前沿及描述分量。</w:t>
      </w:r>
    </w:p>
    <w:p>
      <w:pPr>
        <w:pStyle w:val="PaperCaption"/>
        <w:keepNext/>
        <w:widowControl/>
      </w:pPr>
      <w:r>
        <w:drawing>
          <wp:inline xmlns:a="http://schemas.openxmlformats.org/drawingml/2006/main">
            <wp:extent cx="5941060" cy="2672311"/>
            <wp:docPr id="12" name="Picture 12"/>
            <wp:cNvGraphicFramePr>
              <a:graphicFrameLocks noChangeAspect="1"/>
            </wp:cNvGraphicFramePr>
            <a:graphic>
              <a:graphicData uri="http://schemas.openxmlformats.org/drawingml/2006/picture">
                <pic:pic>
                  <pic:nvPicPr>
                    <pic:cNvPr id="0" name="FIG-Q4-R7-002.png"/>
                    <pic:cNvPicPr/>
                  </pic:nvPicPr>
                  <pic:blipFill>
                    <a:blip r:embed="rId25"/>
                    <a:stretch>
                      <a:fillRect/>
                    </a:stretch>
                  </pic:blipFill>
                  <pic:spPr>
                    <a:xfrm>
                      <a:off x="0" y="0"/>
                      <a:ext cx="5941060" cy="2672311"/>
                    </a:xfrm>
                    <a:prstGeom prst="rect"/>
                  </pic:spPr>
                </pic:pic>
              </a:graphicData>
            </a:graphic>
          </wp:inline>
        </w:drawing>
      </w:r>
    </w:p>
    <w:p>
      <w:pPr>
        <w:pStyle w:val="PaperCaption"/>
        <w:widowControl/>
      </w:pPr>
      <w:r>
        <w:t>图8 前沿变化的参数关联与调整残差分解。两分量相加等于前沿，不表示完整规模与因果技术贡献。</w:t>
      </w:r>
    </w:p>
    <w:p>
      <w:pPr>
        <w:pStyle w:val="PaperBody"/>
        <w:widowControl/>
      </w:pPr>
      <w:r>
        <w:t>表10说明比例对样本与时间定义敏感。只保留已知家族、严格许可证或较晚起点时参数关联份额出现负值；改变时间窗口也可反号。保留负值，不裁剪为零后声称稳定。仅对系数重抽样、固定端点的参数份额条件区间为 [13.90%,23.00%]，它不包含这些定义变化，不能用于反驳敏感性失败。</w:t>
      </w:r>
    </w:p>
    <w:p>
      <w:pPr>
        <w:pStyle w:val="PaperCaption"/>
        <w:keepNext/>
        <w:widowControl/>
      </w:pPr>
      <w:r>
        <w:t>表10 分解的控制规格与敏感性</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规格或筛选</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参数关联份额</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解释</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仅参数规模回归</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17.78%</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描述性对照</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时间与类型控制</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16.71%</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汇总样本关联</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进一步控制家族</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17.02%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主规格</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只保留已知家族</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−15.92%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分解反号</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严格许可证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−26.82%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分解反号</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2024年9月后起点</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−75.89%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端点和时间范围敏感</w:t>
            </w:r>
          </w:p>
        </w:tc>
      </w:tr>
    </w:tbl>
    <w:p>
      <w:pPr>
        <w:pStyle w:val="PaperBody"/>
        <w:widowControl/>
      </w:pPr>
      <w:r>
        <w:t>同家族趋势也不统一：部分家族为负，另一些为正。由此能回答的是指定样本与前沿定义下的描述性分解，无法给出稳健因果的规模扩张与技术进步比例。</w:t>
      </w:r>
    </w:p>
    <w:p>
      <w:pPr>
        <w:pStyle w:val="PaperH2"/>
        <w:widowControl/>
      </w:pPr>
      <w:r>
        <w:t>8.4 动态模型与短期限验证</w:t>
      </w:r>
    </w:p>
    <w:p>
      <w:pPr>
        <w:pStyle w:val="PaperBody"/>
        <w:widowControl/>
      </w:pPr>
      <w:r>
        <w:t>比较持续性、截断线性、有界 logit 线性和最近 13 周局部 logit 四种预定模型。至少积累 16 个周端点后，扩展训练窗滚动预测。实际只有 4 周的 20 折和 13 周的 11 折，26 周和 52 周没有可用回测；不能把短期回测写成长期覆盖验证。表11给出宏观能力点数的 MAE。</w:t>
      </w:r>
    </w:p>
    <w:p>
      <w:pPr>
        <w:pStyle w:val="PaperCaption"/>
        <w:keepNext/>
        <w:widowControl/>
      </w:pPr>
      <w:r>
        <w:t>表11 前沿模型的回溯滚动验证</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模型</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4周 MAE</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13周 MAE</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持续性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1.995689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3.683316</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截断线性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1.763472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1.564437</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有界logit线性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1.756586</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1.529283</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最近13周局部logit</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1.914621</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2.867412</w:t>
            </w:r>
          </w:p>
        </w:tc>
      </w:tr>
    </w:tbl>
    <w:p>
      <w:pPr>
        <w:pStyle w:val="PaperBody"/>
        <w:widowControl/>
      </w:pPr>
      <w:r>
        <w:t>按可用期限等权平均 MAE 选择有界 logit 线性模型。其形式为：</w:t>
      </w:r>
    </w:p>
    <w:p>
      <w:pPr>
        <w:pStyle w:val="PaperEquation"/>
        <w:keepNext/>
        <w:widowControl/>
        <w:spacing w:before="100" w:after="100"/>
      </w:pPr>
      <m:oMath xmlns:m="http://schemas.openxmlformats.org/officeDocument/2006/math" xmlns:mml="http://www.w3.org/1998/Math/MathML">
        <m:sSub>
          <m:e>
            <m:r>
              <m:t>z</m:t>
            </m:r>
          </m:e>
          <m:sub>
            <m:r>
              <m:t>t</m:t>
            </m:r>
          </m:sub>
        </m:sSub>
        <m:r>
          <m:t>=</m:t>
        </m:r>
        <m:r>
          <m:rPr>
            <m:sty m:val="p"/>
          </m:rPr>
          <m:t>log</m:t>
        </m:r>
        <m:f>
          <m:fPr>
            <m:type m:val="bar"/>
          </m:fPr>
          <m:num>
            <m:f>
              <m:fPr>
                <m:type m:val="lin"/>
              </m:fPr>
              <m:num>
                <m:sSub>
                  <m:e>
                    <m:r>
                      <m:t>F</m:t>
                    </m:r>
                  </m:e>
                  <m:sub>
                    <m:r>
                      <m:t>t</m:t>
                    </m:r>
                  </m:sub>
                </m:sSub>
              </m:num>
              <m:den>
                <m:r>
                  <m:t>100</m:t>
                </m:r>
              </m:den>
            </m:f>
          </m:num>
          <m:den>
            <m:r>
              <m:t>1−</m:t>
            </m:r>
            <m:sSub>
              <m:e>
                <m:r>
                  <m:t>F</m:t>
                </m:r>
              </m:e>
              <m:sub>
                <m:r>
                  <m:t>t</m:t>
                </m:r>
              </m:sub>
            </m:sSub>
            <m:r>
              <m:t>/100</m:t>
            </m:r>
          </m:den>
        </m:f>
        <m:r>
          <m:t>=</m:t>
        </m:r>
        <m:sSub>
          <m:e>
            <m:r>
              <m:t>a</m:t>
            </m:r>
          </m:e>
          <m:sub>
            <m:r>
              <m:t>F</m:t>
            </m:r>
          </m:sub>
        </m:sSub>
        <m:r>
          <m:t>+</m:t>
        </m:r>
        <m:sSub>
          <m:e>
            <m:r>
              <m:t>b</m:t>
            </m:r>
          </m:e>
          <m:sub>
            <m:r>
              <m:t>F</m:t>
            </m:r>
          </m:sub>
        </m:sSub>
        <m:r>
          <m:t>t+</m:t>
        </m:r>
        <m:sSub>
          <m:e>
            <m:r>
              <m:t>e</m:t>
            </m:r>
          </m:e>
          <m:sub>
            <m:r>
              <m:t>t</m:t>
            </m:r>
          </m:sub>
        </m:sSub>
      </m:oMath>
    </w:p>
    <w:p>
      <w:pPr>
        <w:pStyle w:val="PaperEquation"/>
        <w:keepNext w:val="0"/>
        <w:widowControl/>
        <w:spacing w:before="100" w:after="100"/>
      </w:pPr>
      <m:oMath xmlns:m="http://schemas.openxmlformats.org/officeDocument/2006/math" xmlns:mml="http://www.w3.org/1998/Math/MathML">
        <m:sSub>
          <m:e>
            <m:limUpp>
              <m:e>
                <m:r>
                  <m:t>F</m:t>
                </m:r>
              </m:e>
              <m:lim>
                <m:r>
                  <m:t>^</m:t>
                </m:r>
              </m:lim>
            </m:limUpp>
          </m:e>
          <m:sub>
            <m:r>
              <m:t>t+h</m:t>
            </m:r>
          </m:sub>
        </m:sSub>
        <m:r>
          <m:t>=</m:t>
        </m:r>
        <m:f>
          <m:fPr>
            <m:type m:val="bar"/>
          </m:fPr>
          <m:num>
            <m:r>
              <m:t>100</m:t>
            </m:r>
          </m:num>
          <m:den>
            <m:r>
              <m:t>1+</m:t>
            </m:r>
            <m:r>
              <m:rPr>
                <m:sty m:val="p"/>
              </m:rPr>
              <m:t>exp</m:t>
            </m:r>
            <m:r>
              <m:t>[−(</m:t>
            </m:r>
            <m:sSub>
              <m:e>
                <m:limUpp>
                  <m:e>
                    <m:r>
                      <m:t>a</m:t>
                    </m:r>
                  </m:e>
                  <m:lim>
                    <m:r>
                      <m:t>^</m:t>
                    </m:r>
                  </m:lim>
                </m:limUpp>
              </m:e>
              <m:sub>
                <m:r>
                  <m:t>F</m:t>
                </m:r>
              </m:sub>
            </m:sSub>
            <m:r>
              <m:t>+</m:t>
            </m:r>
            <m:sSub>
              <m:e>
                <m:limUpp>
                  <m:e>
                    <m:r>
                      <m:t>b</m:t>
                    </m:r>
                  </m:e>
                  <m:lim>
                    <m:r>
                      <m:t>^</m:t>
                    </m:r>
                  </m:lim>
                </m:limUpp>
              </m:e>
              <m:sub>
                <m:r>
                  <m:t>F</m:t>
                </m:r>
              </m:sub>
            </m:sSub>
            <m:r>
              <m:t>(t+h))]</m:t>
            </m:r>
          </m:den>
        </m:f>
      </m:oMath>
      <w:r>
        <w:t xml:space="preserve">    （23）</w:t>
      </w:r>
    </w:p>
    <w:p>
      <w:pPr>
        <w:pStyle w:val="PaperBody"/>
        <w:widowControl/>
      </w:pPr>
      <w:r>
        <w:t>动态模型中的时间与 h 均以周计；比例输入以 0.001 作数值边界保护。反变换限定得分范围 0—100，但这一上界是定义和链接函数的约束，不能说明真实能力会以此速率饱和。固定历史中点的分段趋势未得到优于单趋势的信息准则证据，不事后寻找使远期预测更漂亮的断点。</w:t>
      </w:r>
    </w:p>
    <w:p>
      <w:pPr>
        <w:pStyle w:val="PaperBody"/>
        <w:widowControl/>
      </w:pPr>
      <w:r>
        <w:t>窗口重叠及模型选择使折次并非独立；数据还是保留最新版本的回溯样本，而非完整历史榜单快照。故这里称为回溯的拟样本外验证，不宣称重建了当时真实可用的信息集。</w:t>
      </w:r>
    </w:p>
    <w:p>
      <w:pPr>
        <w:pStyle w:val="PaperH2"/>
        <w:widowControl/>
      </w:pPr>
      <w:r>
        <w:t>8.5 日期明确的预测与三类不确定性</w:t>
      </w:r>
    </w:p>
    <w:p>
      <w:pPr>
        <w:pStyle w:val="PaperBody"/>
        <w:widowControl/>
      </w:pPr>
      <w:r>
        <w:t>预测原点为 2026-09-25，但最后评测观测为 2025-03-14，已经相隔 560 天。因此“未来12和24个月”分别指 2027-09-25、2028-09-25，实际距离最后数据约 30 和 42 个月，两者均以远外推为主。表12及图9必须连同这一日期限制解释。</w:t>
      </w:r>
    </w:p>
    <w:p>
      <w:pPr>
        <w:pStyle w:val="PaperCaption"/>
        <w:keepNext/>
        <w:widowControl/>
      </w:pPr>
      <w:r>
        <w:t>表12 未来能力的条件预测及独立的模型范围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目标日期</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条件中心</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条件模型95%预测区间</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四模型中心范围</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2027-09-25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79.76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[61.24,90.40]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52.17—83.77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2028-09-25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87.13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[69.58,95.57]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52.33—97.11</w:t>
            </w:r>
          </w:p>
        </w:tc>
      </w:tr>
    </w:tbl>
    <w:p>
      <w:pPr>
        <w:pStyle w:val="PaperCaption"/>
        <w:keepNext/>
        <w:widowControl/>
      </w:pPr>
      <w:r>
        <w:drawing>
          <wp:inline xmlns:a="http://schemas.openxmlformats.org/drawingml/2006/main">
            <wp:extent cx="5941060" cy="2818921"/>
            <wp:docPr id="13" name="Picture 13"/>
            <wp:cNvGraphicFramePr>
              <a:graphicFrameLocks noChangeAspect="1"/>
            </wp:cNvGraphicFramePr>
            <a:graphic>
              <a:graphicData uri="http://schemas.openxmlformats.org/drawingml/2006/picture">
                <pic:pic>
                  <pic:nvPicPr>
                    <pic:cNvPr id="0" name="FIG-Q4-R7-005.png"/>
                    <pic:cNvPicPr/>
                  </pic:nvPicPr>
                  <pic:blipFill>
                    <a:blip r:embed="rId26"/>
                    <a:stretch>
                      <a:fillRect/>
                    </a:stretch>
                  </pic:blipFill>
                  <pic:spPr>
                    <a:xfrm>
                      <a:off x="0" y="0"/>
                      <a:ext cx="5941060" cy="2818921"/>
                    </a:xfrm>
                    <a:prstGeom prst="rect"/>
                  </pic:spPr>
                </pic:pic>
              </a:graphicData>
            </a:graphic>
          </wp:inline>
        </w:drawing>
      </w:r>
    </w:p>
    <w:p>
      <w:pPr>
        <w:pStyle w:val="PaperCaption"/>
        <w:widowControl/>
      </w:pPr>
      <w:r>
        <w:t>图9 有界logit前沿的条件预测扇形。统计区间未包含模型选择 来源误差及缺失训练量的不确定性，两期限均为长期外推。</w:t>
      </w:r>
    </w:p>
    <w:p>
      <w:pPr>
        <w:pStyle w:val="PaperBody"/>
        <w:widowControl/>
      </w:pPr>
      <w:r>
        <w:t>第一类是参数与未来扰动的条件模型区间。采用四周循环残差块重抽样，保留局部依赖的思路与时间序列块 bootstrap 一致[4]；1000 次重抽样后重新估计冻结模型，并按残差标准差乘 sqrt(1+h/4) 的假定扩散规则添加未来扰动。该扩散律未获长期数据校准，95% 是条件模型分位而非经验覆盖保证。</w:t>
      </w:r>
    </w:p>
    <w:p>
      <w:pPr>
        <w:pStyle w:val="PaperBody"/>
        <w:widowControl/>
      </w:pPr>
      <w:r>
        <w:t>第二类是模型不确定性。表12最后一列仅为四个预定动态模型的中心预测范围，没有概率覆盖含义，也没有包含所有可能模型或全部筛选敏感性。它与前一列不能互换，不能将较窄者择优作为最终风险范围。</w:t>
      </w:r>
    </w:p>
    <w:p>
      <w:pPr>
        <w:pStyle w:val="PaperBody"/>
        <w:widowControl/>
      </w:pPr>
      <w:r>
        <w:t>第三类是增长情景和未识别的结构变化。令 U(h) 为选定模型预测，b_S 为参数关联分量的历史周趋势，仅对正增长部分设置保留比例 ρ∈{0,0.5,1}：</w:t>
      </w:r>
    </w:p>
    <w:p>
      <w:pPr>
        <w:pStyle w:val="PaperEquation"/>
        <w:keepNext w:val="0"/>
        <w:widowControl/>
        <w:spacing w:before="100" w:after="100"/>
      </w:pPr>
      <m:oMath xmlns:m="http://schemas.openxmlformats.org/officeDocument/2006/math" xmlns:mml="http://www.w3.org/1998/Math/MathML">
        <m:r>
          <m:t>A(h)=max(0,</m:t>
        </m:r>
        <m:sSub>
          <m:e>
            <m:r>
              <m:t>b</m:t>
            </m:r>
          </m:e>
          <m:sub>
            <m:r>
              <m:t>S</m:t>
            </m:r>
          </m:sub>
        </m:sSub>
        <m:r>
          <m:t>h),</m:t>
        </m:r>
        <m:sSub>
          <m:e>
            <m:r>
              <m:t>F</m:t>
            </m:r>
          </m:e>
          <m:sub>
            <m:r>
              <m:t>ρ</m:t>
            </m:r>
          </m:sub>
        </m:sSub>
        <m:r>
          <m:t>(h)=clip{U(h)−(1−ρ)A(h),0,100}.</m:t>
        </m:r>
      </m:oMath>
      <w:r>
        <w:t xml:space="preserve">    （24）</w:t>
      </w:r>
    </w:p>
    <w:p>
      <w:pPr>
        <w:pStyle w:val="PaperBody"/>
        <w:widowControl/>
      </w:pPr>
      <w:r>
        <w:t>本样本 b_S=−0.029739 分/周，故 A(h)=0，三条规模情景完全重合。端点 ΔS 为正与全时段趋势为负并不矛盾。情景重合表示这个参数代理无法形成有效的正增长放缓对照，不能推出真实算力放缓对能力没有影响。完整算力效应、训练 D、新家族和评测变化仍未识别，也不能为其伪造概率区间。</w:t>
      </w:r>
    </w:p>
    <w:p>
      <w:pPr>
        <w:pStyle w:val="PaperBody"/>
        <w:widowControl/>
      </w:pPr>
      <w:r>
        <w:t>问题四的可写结论为：同口径历史群体前沿提高；桥接检验未通过；参数与残差的比例缺乏定义稳健性；两期限只支持带明确假设的条件预测。问题三用于说明资源改变如何影响来源内 Loss，不能取代实际能力观测。</w:t>
      </w:r>
    </w:p>
    <w:p>
      <w:pPr>
        <w:pStyle w:val="PaperH1"/>
        <w:widowControl/>
      </w:pPr>
      <w:r>
        <w:t>9 模型评价与局限性</w:t>
      </w:r>
    </w:p>
    <w:p>
      <w:pPr>
        <w:pStyle w:val="PaperBody"/>
        <w:widowControl/>
      </w:pPr>
      <w:r>
        <w:t>本框架的优点首先是对质量含义的处理：先检查方向、尺度和冗余，再区分语义冲突与统计分歧，避免凭简单负相关判定指标相互矛盾。五维主描述与全22项画像并行，使标量摘要不至于遮蔽用途差异。</w:t>
      </w:r>
    </w:p>
    <w:p>
      <w:pPr>
        <w:pStyle w:val="PaperBody"/>
        <w:widowControl/>
      </w:pPr>
      <w:r>
        <w:t>其次，验证方式与数据结构匹配。配比模型保留拟合外检验和13域结果；标度律按整轨迹、时间前向和双维分块验证，减少随机拆分检查点带来的过度乐观；优化用解析解、数值对照和活跃约束解释，而非仅报告优化器输出。</w:t>
      </w:r>
    </w:p>
    <w:p>
      <w:pPr>
        <w:pStyle w:val="PaperBody"/>
        <w:widowControl/>
      </w:pPr>
      <w:r>
        <w:t>再次，跨问题传递同时传递证据范围。质量半合成校准不变成真实因果效应，配比失败不被平均结果覆盖，支持上限不被解释成产业饱和。参数分位、机制情景及不同模型范围分开报告，有助于判断配置或预测究竟依赖哪一种假设。</w:t>
      </w:r>
    </w:p>
    <w:p>
      <w:pPr>
        <w:pStyle w:val="PaperBody"/>
        <w:widowControl/>
      </w:pPr>
      <w:r>
        <w:t>限制也具有具体来源。B1的外部原始运行和共同Loss量尺未完全恢复；Q与训练运行缺少配对，真实独立质量弹性无法识别；配比的较大规模运输弱，1B已失败，真实语料供应未知。Q3的最优性仅针对给定曲面、成本和支持约束，质量情景不能代替实测回报。</w:t>
      </w:r>
    </w:p>
    <w:p>
      <w:pPr>
        <w:pStyle w:val="PaperBody"/>
        <w:widowControl/>
      </w:pPr>
      <w:r>
        <w:t>Q4没有可靠桥接，缺少同口径训练D使完整规模贡献不可识别；参数关联与调整残差比例受筛选、起点和窗口影响并可反号。观测止于2025年3月，预测原点前有560天空档，长时段覆盖未经验证，固定趋势及扩散假设可能在新模型家族或评测规则变化时失效。因此不能用表12的条件中心代替高可信产业预测，也不能将模型得分上界当作真实技术饱和证据。</w:t>
      </w:r>
    </w:p>
    <w:p>
      <w:pPr>
        <w:pStyle w:val="PaperH1"/>
        <w:widowControl/>
      </w:pPr>
      <w:r>
        <w:t>10 结论</w:t>
      </w:r>
    </w:p>
    <w:p>
      <w:pPr>
        <w:pStyle w:val="PaperBody"/>
        <w:widowControl/>
      </w:pPr>
      <w:r>
        <w:t>问题一形成完整质量画像、五维描述及受限配比预测；1M留出表现支持局部配比关联，较大规模失败限定了可运输范围。问题二给出附件内部N–D幂律及边际、弹性和有限替代公式，质量与跨来源配比关系通过显式情景表达。</w:t>
      </w:r>
    </w:p>
    <w:p>
      <w:pPr>
        <w:pStyle w:val="PaperBody"/>
        <w:widowControl/>
      </w:pPr>
      <w:r>
        <w:t>问题三在题设算力代理下得到解析与数值一致的条件配置，预算增加先触及数据支持界，再触及参数支持界，平台反映证据边界。质量成本可改变有限投入选择，局部启动条件不能代替非凸情景的全局比较。</w:t>
      </w:r>
    </w:p>
    <w:p>
      <w:pPr>
        <w:pStyle w:val="PaperBody"/>
        <w:widowControl/>
      </w:pPr>
      <w:r>
        <w:t>问题四观察到同口径群体前沿上升，但桥接、完整规模贡献和真实算力放缓效应均不能据现有资料可靠识别。给出的12/24个月预测是陈旧观测条件下的长期外推，必须与统计区间、模型范围和不可识别部分一起使用。四问的共同价值是把可复核的数量关系和不能由资料支撑的推断明确分开。</w:t>
      </w:r>
    </w:p>
    <w:p>
      <w:pPr>
        <w:pStyle w:val="PaperH1"/>
        <w:widowControl/>
      </w:pPr>
      <w:r>
        <w:t>参考文献</w:t>
      </w:r>
    </w:p>
    <w:p>
      <w:pPr>
        <w:pStyle w:val="PaperRef"/>
        <w:widowControl/>
      </w:pPr>
      <w:r>
        <w:t>[1] Hoffmann J, Borgeaud S, Mensch A, et al. Training Compute-Optimal Large Language Models. arXiv:2203.15556, 2022. https://arxiv.org/abs/2203.15556，访问日期2026-09-25。</w:t>
      </w:r>
    </w:p>
    <w:p>
      <w:pPr>
        <w:pStyle w:val="PaperRef"/>
        <w:widowControl/>
      </w:pPr>
      <w:r>
        <w:t>[2] Aitchison J. The Statistical Analysis of Compositional Data. Journal of the Royal Statistical Society Series B, 44(2):139–177, 1982. https://doi.org/10.1111/j.2517-6161.1982.tb01195.x。</w:t>
      </w:r>
    </w:p>
    <w:p>
      <w:pPr>
        <w:pStyle w:val="PaperRef"/>
        <w:widowControl/>
      </w:pPr>
      <w:r>
        <w:t>[3] Biderman S, Schoelkopf H, Anthony Q, et al. Pythia: A Suite for Analyzing Large Language Models Across Training and Scaling. arXiv:2304.01373, 2023. https://arxiv.org/abs/2304.01373，访问日期2026-09-25。</w:t>
      </w:r>
    </w:p>
    <w:p>
      <w:pPr>
        <w:pStyle w:val="PaperRef"/>
        <w:widowControl/>
      </w:pPr>
      <w:r>
        <w:t>[4] Künsch H R. The Jackknife and the Bootstrap for General Stationary Observations. The Annals of Statistics, 17(3):1217–1241, 1989. https://doi.org/10.1214/aos/1176347265。</w:t>
      </w:r>
    </w:p>
    <w:p>
      <w:r>
        <w:br w:type="page"/>
      </w:r>
    </w:p>
    <w:p>
      <w:pPr>
        <w:pStyle w:val="PaperH1"/>
        <w:widowControl/>
      </w:pPr>
      <w:r>
        <w:t>附录 A 完整质量信号处理</w:t>
      </w:r>
    </w:p>
    <w:p>
      <w:pPr>
        <w:pStyle w:val="PaperBody"/>
        <w:widowControl/>
      </w:pPr>
      <w:r>
        <w:t>表A1保留全部22项字段族的定义和处理。这里的“主坐标”仅指描述用途；任何字段均不能直接充当已识别的训练质量效应。缺失与非有限值不以高分替代，列表原分量保留；域级分布与有效样本数在支撑表提供。</w:t>
      </w:r>
    </w:p>
    <w:p>
      <w:pPr>
        <w:pStyle w:val="PaperCaption"/>
        <w:keepNext/>
        <w:widowControl/>
      </w:pPr>
      <w:r>
        <w:t>表A1 完整22项信号的含义与使用方式</w:t>
      </w:r>
    </w:p>
    <w:tbl>
      <w:tblPr>
        <w:tblW w:type="auto" w:w="0"/>
        <w:jc w:val="center"/>
        <w:tblLayout w:type="fixed"/>
        <w:tblLook w:firstColumn="1" w:firstRow="1" w:lastColumn="0" w:lastRow="0" w:noHBand="0" w:noVBand="1" w:val="04A0"/>
      </w:tblPr>
      <w:tblGrid>
        <w:gridCol w:w="3930"/>
        <w:gridCol w:w="1871"/>
        <w:gridCol w:w="3555"/>
      </w:tblGrid>
      <w:tr>
        <w:trPr>
          <w:cantSplit/>
          <w:tblHeader/>
        </w:trPr>
        <w:tc>
          <w:tcPr>
            <w:tcW w:type="dxa" w:w="393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序号及字段族</w:t>
            </w:r>
          </w:p>
        </w:tc>
        <w:tc>
          <w:tcPr>
            <w:tcW w:type="dxa" w:w="187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含义</w:t>
            </w:r>
          </w:p>
        </w:tc>
        <w:tc>
          <w:tcPr>
            <w:tcW w:type="dxa" w:w="3555"/>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处理与限制</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 fineweb_​edu</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教育价值</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原评分；正向主坐标</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2. fluency_​en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英语流畅度</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正负logit差；正向主坐标</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3. modernbert_​cleanliness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清洁度</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概率加权等级；正向主坐标</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4. modernbert_​readability</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可读性</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概率加权等级；正向主坐标</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5. modernbert_​reasoning</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推理复杂度</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保留等级；依用途分析</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6. modernbert_​professionalism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专业性</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保留等级；依用途分析</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7. dsir_​books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书籍相似性</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尺度未核；不进入总分</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8. dsir_​wiki</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百科相似性</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与书籍列近重复；单列诊断</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9. dsir_​math</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数学相似性</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与书籍列近重复；单列诊断</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10. qurater</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四面向质量评级</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保留四分量；不强行平均</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11. ad_​en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无广告程度</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无广告减有广告logit；主坐标</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12. rps_​doc_​word_​count</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词数</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log1p长度协变量</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13. rps_​doc_​num_​sentences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句数</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log1p长度协变量</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14. rps_​doc_​unigram_​entropy</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一元熵</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原值/秩；基数未核</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15. rps_​doc_​frac_​unique_​words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不重复词比例</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原值/秩；依语言与用途</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16. rps_​doc_​frac_​no_​alph_​words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非字母词比例</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原值/秩；代码域另析</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17. rps_​doc_​frac_​chars_​top_​2gram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最高频二元组字符占比</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原值保留；不裁剪超界</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18. rps_​doc_​frac_​chars_​top_​3gram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最高频三元组字符占比</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原值保留；不裁剪超界</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19. rps_​lines_​uppercase_​letter_​fraction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大写字母比例</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原值/秩；用途敏感</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20. rps_​lines_​ending_​with_​terminal_​punctution_​mark</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行尾标点比例</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原值/秩；用途敏感</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21. rps_​lines_​numerical_​chars_​fraction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数字字符比例</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原值/秩；用途敏感</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22. rps_​doc_​mean_​word_​length</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平均词长</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字符/词；用途敏感</w:t>
            </w:r>
          </w:p>
        </w:tc>
      </w:tr>
    </w:tbl>
    <w:p>
      <w:pPr>
        <w:pStyle w:val="PaperH1"/>
        <w:widowControl/>
      </w:pPr>
      <w:r>
        <w:t>附录 B 逐领域验证</w:t>
      </w:r>
    </w:p>
    <w:p>
      <w:pPr>
        <w:pStyle w:val="PaperBody"/>
        <w:widowControl/>
      </w:pPr>
      <w:r>
        <w:t>表B1列出1M留出运行的全部13域原尺度RMSE，与图2和表3来自相同冻结预测。总体改善并未消除领域间误差差异。</w:t>
      </w:r>
    </w:p>
    <w:p>
      <w:pPr>
        <w:pStyle w:val="PaperCaption"/>
        <w:keepNext/>
        <w:widowControl/>
      </w:pPr>
      <w:r>
        <w:t>表B1 1M留出逐领域预测误差</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验证领域</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M0 RMSE</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M1 RMSE</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M1/M0</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arxiv</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0.7969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0.5888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0.7389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freelaw</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0.7378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0.4806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0.6514</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pubmed_​central</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0.8408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0.5312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0.6318</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wikipedia_​en</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0.5464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0.2957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0.5412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dm_​mathematics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1.5393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1.1605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0.7539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github</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0.9440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0.6129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0.6492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stackexchange</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0.6759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0.4487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0.6639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gutenberg_​pg_​19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0.4490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0.2564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0.5712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pile_​cc</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0.3206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0.1532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0.4778</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ubuntu_​irc</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0.9994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0.6487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0.6490</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hackernews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0.3366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0.1900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0.5647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pubmed_​abstracts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0.2626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0.4601</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uspto_​backgrounds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0.5104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0.2725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0.5340</w:t>
            </w:r>
          </w:p>
        </w:tc>
      </w:tr>
    </w:tbl>
    <w:p>
      <w:pPr>
        <w:pStyle w:val="PaperH1"/>
        <w:widowControl/>
      </w:pPr>
      <w:r>
        <w:t>附录 C 求解与复现说明</w:t>
      </w:r>
    </w:p>
    <w:p>
      <w:pPr>
        <w:pStyle w:val="PaperBody"/>
        <w:widowControl/>
      </w:pPr>
      <w:r>
        <w:t>配比模型先按训练配比构造正交坐标，分别拟合各响应域，再在冻结参数下计算留出预测。跨规模仅中心化比较形状；支持分类只用训练几何定义。质量参考分位、方向与权重不依赖留出Loss。</w:t>
      </w:r>
    </w:p>
    <w:p>
      <w:pPr>
        <w:pStyle w:val="PaperBody"/>
        <w:widowControl/>
      </w:pPr>
      <w:r>
        <w:t>标度律采用轨迹等权的有界非线性最小二乘，保存每折训练/检验索引。参数不确定性按整轨迹重抽样。资源基线优先使用式（16）；质量情景按固定Q消元、外层端点与局部谷精化求解，保留所有数值起点和失败记录。</w:t>
      </w:r>
    </w:p>
    <w:p>
      <w:pPr>
        <w:pStyle w:val="PaperBody"/>
        <w:widowControl/>
      </w:pPr>
      <w:r>
        <w:t>前沿从模型身份和原始任务组得分构造。分解使用与前沿完全一致的分位插值权重；滚动预测只用当时端点之前的窗口。预测区间采用固定模型与残差块，模型范围另算，禁止用未来预测结果选择模型。原件、模型参数、实验输出与图表通过哈希连接，支撑材料含对应索引及只读核对程序。</w:t>
      </w:r>
    </w:p>
    <w:p>
      <w:pPr>
        <w:pStyle w:val="PaperBody"/>
        <w:widowControl/>
      </w:pPr>
      <w:r>
        <w:t>本文沿用既有模型与有效运行，不为改进论文外观重新拟合或调参。支撑目录中的机器结果保留全精度；正文按显示精度四舍五入。公式的数值回代使用全精度参数，因而与用印刷参数重算的末位差异不视为模型改变。</w:t>
      </w:r>
    </w:p>
    <w:p>
      <w:pPr>
        <w:pStyle w:val="PaperBody"/>
        <w:widowControl/>
      </w:pPr>
      <w:r>
        <w:t>AI辅助编程说明：本次论文证据抽取、生成及一致性核查代码在Codex辅助下完成，当前会话模型标识GPT-6，开发机构OpenAI，版本发布日期未独立核验；历史建模代码的工具版本和发布日期应由参赛队原始记录确认。本说明不将AI使用解释为独立人工复审，参赛队须在正式提交前补全披露并核实自身表述。</w:t>
      </w:r>
    </w:p>
    <w:sectPr>
      <w:footerReference w:type="default" r:id="rId16"/>
      <w:headerReference w:type="default" r:id="rId17"/>
      <w:pgSz w:w="11906" w:h="16838"/>
      <w:pgMar w:left="1276" w:right="1274" w:gutter="0" w:header="0" w:top="1702" w:footer="992" w:bottom="1048"/>
      <w:formProt w:val="false"/>
      <w:textDirection w:val="lrTb"/>
      <w:docGrid w:type="lines" w:linePitch="312" w:charSpace="0"/>
      <w:pgNumType w:start="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86"/>
    <w:family w:val="roman"/>
    <w:pitch w:val="variable"/>
  </w:font>
  <w:font w:name="Cambria">
    <w:charset w:val="00" w:characterSet="windows-1252"/>
    <w:family w:val="roman"/>
    <w:pitch w:val="variable"/>
  </w:font>
  <w:font w:name="宋体">
    <w:altName w:val="SimSun"/>
    <w:charset w:val="86"/>
    <w:family w:val="auto"/>
    <w:pitch w:val="variable"/>
  </w:font>
  <w:font w:name="Arial">
    <w:charset w:val="86"/>
    <w:family w:val="swiss"/>
    <w:pitch w:val="variable"/>
  </w:font>
  <w:font w:name="Calibri">
    <w:charset w:val="00" w:characterSet="windows-1252"/>
    <w:family w:val="swiss"/>
    <w:pitch w:val="variable"/>
  </w:font>
  <w:font w:name="华文中宋">
    <w:charset w:val="86"/>
    <w:family w:val="auto"/>
    <w:pitch w:val="variable"/>
  </w:font>
  <w:font w:name="华文新魏">
    <w:charset w:val="86"/>
    <w:family w:val="auto"/>
    <w:pitch w:val="variable"/>
  </w:font>
  <w:font w:name="仿宋_GB2312">
    <w:charset w:val="86"/>
    <w:family w:val="modern"/>
    <w:pitch w:val="default"/>
  </w:font>
  <w:font w:name="隶书">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60"/>
  <w:defaultTabStop w:val="420"/>
  <w:autoHyphenation w:val="true"/>
  <w:hyphenationZone w:val="0"/>
  <w:compat>
    <w:doNotExpandShiftReturn/>
    <w:doNotBreakWrappedTables/>
    <w:compatSetting w:name="compatibilityMode" w:uri="http://schemas.microsoft.com/office/word" w:val="11"/>
  </w:compa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2"/>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cs="Cambria"/>
      <w:b/>
      <w:bCs/>
      <w:kern w:val="0"/>
      <w:sz w:val="32"/>
      <w:szCs w:val="32"/>
    </w:rPr>
  </w:style>
  <w:style w:type="paragraph" w:styleId="Heading3">
    <w:name w:val="heading 3"/>
    <w:basedOn w:val="Normal"/>
    <w:next w:val="BodyText"/>
    <w:qFormat/>
    <w:pPr>
      <w:widowControl/>
      <w:numPr>
        <w:ilvl w:val="2"/>
        <w:numId w:val="1"/>
      </w:numPr>
      <w:spacing w:before="100" w:after="100"/>
      <w:jc w:val="start"/>
      <w:outlineLvl w:val="2"/>
    </w:pPr>
    <w:rPr>
      <w:rFonts w:ascii="宋体;SimSun" w:hAnsi="宋体;SimSun" w:cs="宋体;SimSun"/>
      <w:b/>
      <w:bCs/>
      <w:kern w:val="0"/>
      <w:sz w:val="27"/>
      <w:szCs w:val="27"/>
    </w:rPr>
  </w:style>
  <w:style w:type="character" w:styleId="Style11">
    <w:name w:val="默认段落字体"/>
    <w:qFormat/>
    <w:rPr/>
  </w:style>
  <w:style w:type="character" w:styleId="1">
    <w:name w:val="标题 1 字符"/>
    <w:qFormat/>
    <w:rPr>
      <w:b/>
      <w:bCs/>
      <w:kern w:val="2"/>
      <w:sz w:val="44"/>
      <w:szCs w:val="44"/>
    </w:rPr>
  </w:style>
  <w:style w:type="character" w:styleId="2">
    <w:name w:val="标题 2 字符"/>
    <w:qFormat/>
    <w:rPr>
      <w:rFonts w:ascii="Cambria" w:hAnsi="Cambria" w:eastAsia="宋体;SimSun" w:cs="Times New Roman"/>
      <w:b/>
      <w:bCs/>
      <w:sz w:val="32"/>
      <w:szCs w:val="32"/>
    </w:rPr>
  </w:style>
  <w:style w:type="character" w:styleId="3">
    <w:name w:val="标题 3 字符"/>
    <w:qFormat/>
    <w:rPr>
      <w:rFonts w:ascii="宋体;SimSun" w:hAnsi="宋体;SimSun" w:eastAsia="宋体;SimSun" w:cs="宋体;SimSun"/>
      <w:b/>
      <w:bCs/>
      <w:kern w:val="0"/>
      <w:sz w:val="27"/>
      <w:szCs w:val="27"/>
    </w:rPr>
  </w:style>
  <w:style w:type="character" w:styleId="Style12">
    <w:name w:val="题注 字符"/>
    <w:qFormat/>
    <w:rPr>
      <w:rFonts w:ascii="Arial" w:hAnsi="Arial" w:eastAsia="黑体;SimHei" w:cs="Arial"/>
      <w:sz w:val="20"/>
      <w:szCs w:val="20"/>
    </w:rPr>
  </w:style>
  <w:style w:type="character" w:styleId="Style13">
    <w:name w:val="批注文字 字符"/>
    <w:qFormat/>
    <w:rPr/>
  </w:style>
  <w:style w:type="character" w:styleId="Style14">
    <w:name w:val="纯文本 字符"/>
    <w:qFormat/>
    <w:rPr>
      <w:rFonts w:ascii="宋体;SimSun" w:hAnsi="宋体;SimSun" w:eastAsia="宋体;SimSun" w:cs="Times New Roman" w:hint="eastAsia"/>
      <w:kern w:val="0"/>
      <w:szCs w:val="20"/>
    </w:rPr>
  </w:style>
  <w:style w:type="character" w:styleId="Style15">
    <w:name w:val="日期 字符"/>
    <w:qFormat/>
    <w:rPr>
      <w:kern w:val="2"/>
      <w:sz w:val="21"/>
      <w:szCs w:val="22"/>
    </w:rPr>
  </w:style>
  <w:style w:type="character" w:styleId="Style16">
    <w:name w:val="尾注文本 字符"/>
    <w:qFormat/>
    <w:rPr>
      <w:kern w:val="2"/>
      <w:sz w:val="21"/>
      <w:szCs w:val="22"/>
    </w:rPr>
  </w:style>
  <w:style w:type="character" w:styleId="Style17">
    <w:name w:val="批注框文本 字符"/>
    <w:qFormat/>
    <w:rPr>
      <w:sz w:val="18"/>
      <w:szCs w:val="18"/>
    </w:rPr>
  </w:style>
  <w:style w:type="character" w:styleId="Style18">
    <w:name w:val="页脚 字符"/>
    <w:qFormat/>
    <w:rPr>
      <w:sz w:val="18"/>
      <w:szCs w:val="18"/>
    </w:rPr>
  </w:style>
  <w:style w:type="character" w:styleId="Style19">
    <w:name w:val="页眉 字符"/>
    <w:qFormat/>
    <w:rPr>
      <w:sz w:val="18"/>
      <w:szCs w:val="18"/>
    </w:rPr>
  </w:style>
  <w:style w:type="character" w:styleId="Style20">
    <w:name w:val="批注主题 字符"/>
    <w:qFormat/>
    <w:rPr>
      <w:b/>
    </w:rPr>
  </w:style>
  <w:style w:type="character" w:styleId="Strong">
    <w:name w:val="Strong"/>
    <w:qFormat/>
    <w:rPr>
      <w:b/>
      <w:bCs/>
    </w:rPr>
  </w:style>
  <w:style w:type="character" w:styleId="Style21">
    <w:name w:val="尾注符"/>
    <w:qFormat/>
    <w:rPr>
      <w:vertAlign w:val="superscript"/>
    </w:rPr>
  </w:style>
  <w:style w:type="character" w:styleId="FollowedHyperlink">
    <w:name w:val="FollowedHyperlink"/>
    <w:rPr>
      <w:color w:val="954F72"/>
      <w:u w:val="single"/>
    </w:rPr>
  </w:style>
  <w:style w:type="character" w:styleId="Hyperlink">
    <w:name w:val="Hyperlink"/>
    <w:rPr>
      <w:color w:val="0563C1"/>
      <w:u w:val="single"/>
    </w:rPr>
  </w:style>
  <w:style w:type="character" w:styleId="Style22">
    <w:name w:val="批注引用"/>
    <w:qFormat/>
    <w:rPr>
      <w:sz w:val="21"/>
      <w:szCs w:val="21"/>
    </w:rPr>
  </w:style>
  <w:style w:type="character" w:styleId="Style23">
    <w:name w:val="无间距字符"/>
    <w:qFormat/>
    <w:rPr>
      <w:sz w:val="22"/>
      <w:szCs w:val="22"/>
      <w:lang w:val="en-US" w:eastAsia="zh-CN" w:bidi="ar-SA"/>
    </w:rPr>
  </w:style>
  <w:style w:type="character" w:styleId="apple-converted-space">
    <w:name w:val="apple-converted-space"/>
    <w:qFormat/>
    <w:rPr/>
  </w:style>
  <w:style w:type="character" w:styleId="apple-style-span">
    <w:name w:val="apple-style-span"/>
    <w:qFormat/>
    <w:rPr/>
  </w:style>
  <w:style w:type="character" w:styleId="font61">
    <w:name w:val="font61"/>
    <w:qFormat/>
    <w:rPr>
      <w:rFonts w:ascii="宋体;SimSun" w:hAnsi="宋体;SimSun" w:eastAsia="宋体;SimSun" w:cs="宋体;SimSun" w:hint="eastAsia"/>
      <w:i w:val="false"/>
      <w:color w:val="000000"/>
      <w:sz w:val="28"/>
      <w:szCs w:val="28"/>
      <w:u w:val="none"/>
    </w:rPr>
  </w:style>
  <w:style w:type="paragraph" w:styleId="Style24">
    <w:name w:val="标题样式"/>
    <w:basedOn w:val="Normal"/>
    <w:next w:val="BodyText"/>
    <w:qFormat/>
    <w:pPr>
      <w:keepNext w:val="true"/>
      <w:spacing w:before="240" w:after="120"/>
    </w:pPr>
    <w:rPr>
      <w:rFonts w:ascii="Arial" w:hAnsi="Arial"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keepNext w:val="false"/>
      <w:keepLines w:val="false"/>
      <w:widowControl/>
      <w:snapToGrid w:val="false"/>
      <w:spacing w:lineRule="atLeast" w:line="240" w:before="152" w:after="160"/>
      <w:ind w:hanging="0" w:start="1702" w:end="0"/>
      <w:jc w:val="start"/>
    </w:pPr>
    <w:rPr>
      <w:rFonts w:ascii="Arial" w:hAnsi="Arial" w:eastAsia="黑体;SimHei" w:cs="Arial"/>
      <w:kern w:val="0"/>
      <w:sz w:val="20"/>
      <w:szCs w:val="20"/>
    </w:rPr>
  </w:style>
  <w:style w:type="paragraph" w:styleId="Style25">
    <w:name w:val="索引"/>
    <w:basedOn w:val="Normal"/>
    <w:qFormat/>
    <w:pPr>
      <w:suppressLineNumbers/>
    </w:pPr>
    <w:rPr>
      <w:rFonts w:cs="Lucida Sans"/>
    </w:rPr>
  </w:style>
  <w:style w:type="paragraph" w:styleId="Style26">
    <w:name w:val="批注文字"/>
    <w:basedOn w:val="Normal"/>
    <w:qFormat/>
    <w:pPr>
      <w:keepNext w:val="false"/>
      <w:keepLines w:val="false"/>
      <w:widowControl w:val="false"/>
      <w:spacing w:before="0" w:after="0"/>
      <w:ind w:hanging="0" w:start="0" w:end="0"/>
      <w:jc w:val="start"/>
    </w:pPr>
    <w:rPr>
      <w:rFonts w:ascii="Calibri" w:hAnsi="Calibri" w:eastAsia="宋体;SimSun" w:cs="Times New Roman"/>
      <w:kern w:val="2"/>
      <w:sz w:val="21"/>
      <w:szCs w:val="22"/>
      <w:lang w:val="en-US" w:eastAsia="zh-CN" w:bidi="ar"/>
    </w:rPr>
  </w:style>
  <w:style w:type="paragraph" w:styleId="TOC3">
    <w:name w:val="toc 3"/>
    <w:basedOn w:val="Normal"/>
    <w:next w:val="Normal"/>
    <w:pPr>
      <w:ind w:firstLineChars="0" w:firstLine="0" w:startChars="400" w:endChars="0" w:end="0"/>
    </w:pPr>
    <w:rPr/>
  </w:style>
  <w:style w:type="paragraph" w:styleId="Style27">
    <w:name w:val="纯文本"/>
    <w:basedOn w:val="Normal"/>
    <w:qFormat/>
    <w:pPr>
      <w:keepNext w:val="false"/>
      <w:keepLines w:val="false"/>
      <w:widowControl w:val="false"/>
      <w:spacing w:lineRule="atLeast" w:line="312" w:before="0" w:after="0"/>
      <w:ind w:hanging="0" w:start="0" w:end="0"/>
      <w:jc w:val="both"/>
    </w:pPr>
    <w:rPr>
      <w:rFonts w:ascii="宋体;SimSun" w:hAnsi="宋体;SimSun" w:cs="Courier New" w:hint="eastAsia"/>
      <w:kern w:val="0"/>
      <w:sz w:val="20"/>
      <w:szCs w:val="20"/>
    </w:rPr>
  </w:style>
  <w:style w:type="paragraph" w:styleId="Style28">
    <w:name w:val="日期"/>
    <w:basedOn w:val="Normal"/>
    <w:next w:val="Normal"/>
    <w:qFormat/>
    <w:pPr>
      <w:ind w:firstLineChars="0" w:firstLine="0" w:startChars="2500" w:endChars="0" w:end="0"/>
    </w:pPr>
    <w:rPr/>
  </w:style>
  <w:style w:type="paragraph" w:styleId="EndnoteText">
    <w:name w:val="endnote text"/>
    <w:basedOn w:val="Normal"/>
    <w:pPr>
      <w:snapToGrid w:val="false"/>
      <w:jc w:val="start"/>
    </w:pPr>
    <w:rPr/>
  </w:style>
  <w:style w:type="paragraph" w:styleId="Style29">
    <w:name w:val="批注框文本"/>
    <w:basedOn w:val="Normal"/>
    <w:qFormat/>
    <w:pPr/>
    <w:rPr>
      <w:kern w:val="0"/>
      <w:sz w:val="18"/>
      <w:szCs w:val="18"/>
    </w:rPr>
  </w:style>
  <w:style w:type="paragraph" w:styleId="Style30">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0"/>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0"/>
      <w:sz w:val="18"/>
      <w:szCs w:val="18"/>
    </w:rPr>
  </w:style>
  <w:style w:type="paragraph" w:styleId="TOC1">
    <w:name w:val="toc 1"/>
    <w:basedOn w:val="Normal"/>
    <w:next w:val="Normal"/>
    <w:pPr/>
    <w:rPr/>
  </w:style>
  <w:style w:type="paragraph" w:styleId="TOC2">
    <w:name w:val="toc 2"/>
    <w:basedOn w:val="Normal"/>
    <w:next w:val="Normal"/>
    <w:pPr>
      <w:ind w:firstLineChars="0" w:firstLine="0" w:startChars="200" w:endChars="0" w:end="0"/>
    </w:pPr>
    <w:rPr/>
  </w:style>
  <w:style w:type="paragraph" w:styleId="Style31">
    <w:name w:val="普通(网站)"/>
    <w:basedOn w:val="Normal"/>
    <w:qFormat/>
    <w:pPr>
      <w:widowControl/>
      <w:spacing w:before="100" w:after="100"/>
      <w:jc w:val="start"/>
    </w:pPr>
    <w:rPr>
      <w:rFonts w:ascii="宋体;SimSun" w:hAnsi="宋体;SimSun" w:eastAsia="宋体;SimSun" w:cs="宋体;SimSun"/>
      <w:kern w:val="0"/>
      <w:sz w:val="24"/>
      <w:szCs w:val="24"/>
    </w:rPr>
  </w:style>
  <w:style w:type="paragraph" w:styleId="Style32">
    <w:name w:val="批注主题"/>
    <w:basedOn w:val="Style26"/>
    <w:next w:val="Style26"/>
    <w:qFormat/>
    <w:pPr/>
    <w:rPr>
      <w:rFonts w:ascii="Times New Roman" w:hAnsi="Times New Roman" w:cs="Times New Roman"/>
      <w:b/>
      <w:kern w:val="0"/>
      <w:sz w:val="20"/>
      <w:szCs w:val="20"/>
    </w:rPr>
  </w:style>
  <w:style w:type="paragraph" w:styleId="Style33">
    <w:name w:val="无间距"/>
    <w:qFormat/>
    <w:pPr>
      <w:widowControl/>
      <w:bidi w:val="0"/>
    </w:pPr>
    <w:rPr>
      <w:rFonts w:ascii="Times New Roman" w:hAnsi="Times New Roman" w:eastAsia="宋体;SimSun" w:cs="Times New Roman"/>
      <w:color w:val="auto"/>
      <w:sz w:val="22"/>
      <w:szCs w:val="22"/>
      <w:lang w:val="en-US" w:eastAsia="zh-CN" w:bidi="ar-SA"/>
    </w:rPr>
  </w:style>
  <w:style w:type="paragraph" w:styleId="-11">
    <w:name w:val="彩色列表 - 强调文字颜色 11"/>
    <w:basedOn w:val="Normal"/>
    <w:qFormat/>
    <w:pPr>
      <w:ind w:firstLineChars="200" w:startChars="0" w:start="0" w:endChars="0" w:end="0"/>
    </w:pPr>
    <w:rPr/>
  </w:style>
  <w:style w:type="paragraph" w:styleId="style51">
    <w:name w:val="style5"/>
    <w:basedOn w:val="Normal"/>
    <w:qFormat/>
    <w:pPr>
      <w:widowControl/>
      <w:spacing w:before="100" w:after="100"/>
      <w:jc w:val="start"/>
    </w:pPr>
    <w:rPr>
      <w:rFonts w:ascii="宋体;SimSun" w:hAnsi="宋体;SimSun" w:cs="宋体;SimSun"/>
      <w:kern w:val="0"/>
      <w:sz w:val="24"/>
      <w:szCs w:val="24"/>
    </w:rPr>
  </w:style>
  <w:style w:type="paragraph" w:styleId="font10">
    <w:name w:val="font10"/>
    <w:basedOn w:val="Normal"/>
    <w:qFormat/>
    <w:pPr>
      <w:widowControl/>
      <w:spacing w:before="100" w:after="100"/>
      <w:jc w:val="start"/>
    </w:pPr>
    <w:rPr>
      <w:rFonts w:ascii="宋体;SimSun" w:hAnsi="宋体;SimSun" w:eastAsia="宋体;SimSun" w:cs="宋体;SimSun"/>
      <w:kern w:val="0"/>
      <w:sz w:val="24"/>
      <w:szCs w:val="24"/>
    </w:rPr>
  </w:style>
  <w:style w:type="paragraph" w:styleId="21">
    <w:name w:val="列出段落2"/>
    <w:basedOn w:val="Normal"/>
    <w:qFormat/>
    <w:pPr>
      <w:keepNext w:val="false"/>
      <w:keepLines w:val="false"/>
      <w:widowControl w:val="false"/>
      <w:spacing w:before="0" w:after="0"/>
      <w:ind w:firstLineChars="200" w:startChars="0" w:start="0" w:endChars="0" w:end="0"/>
      <w:jc w:val="both"/>
    </w:pPr>
    <w:rPr>
      <w:rFonts w:ascii="Calibri" w:hAnsi="Calibri" w:eastAsia="宋体;SimSun" w:cs="Times New Roman"/>
      <w:kern w:val="2"/>
      <w:sz w:val="21"/>
      <w:szCs w:val="22"/>
      <w:lang w:val="en-US" w:eastAsia="zh-CN" w:bidi="ar"/>
    </w:rPr>
  </w:style>
  <w:style w:type="paragraph" w:styleId="Style34">
    <w:name w:val="表格内容"/>
    <w:basedOn w:val="Normal"/>
    <w:qFormat/>
    <w:pPr>
      <w:widowControl w:val="false"/>
      <w:suppressLineNumbers/>
    </w:pPr>
    <w:rPr/>
  </w:style>
  <w:style w:type="paragraph" w:styleId="Style35">
    <w:name w:val="表格标题"/>
    <w:basedOn w:val="Style34"/>
    <w:qFormat/>
    <w:pPr>
      <w:suppressLineNumbers/>
      <w:jc w:val="center"/>
    </w:pPr>
    <w:rPr>
      <w:b/>
      <w:bCs/>
    </w:rPr>
  </w:style>
  <w:style w:type="paragraph" w:customStyle="1" w:styleId="PaperBody">
    <w:name w:val="PaperBody"/>
    <w:pPr>
      <w:spacing w:line="240" w:lineRule="auto" w:after="60" w:before="0"/>
      <w:ind w:firstLine="480"/>
    </w:pPr>
    <w:rPr>
      <w:rFonts w:ascii="Times New Roman" w:hAnsi="Times New Roman" w:eastAsia="宋体"/>
      <w:b w:val="0"/>
      <w:color w:val="000000"/>
      <w:sz w:val="24"/>
    </w:rPr>
  </w:style>
  <w:style w:type="paragraph" w:customStyle="1" w:styleId="Title">
    <w:name w:val="Title"/>
    <w:pPr>
      <w:spacing w:line="240" w:lineRule="auto" w:after="240" w:before="0"/>
      <w:jc w:val="center"/>
    </w:pPr>
    <w:rPr>
      <w:rFonts w:ascii="Times New Roman" w:hAnsi="Times New Roman" w:eastAsia="黑体"/>
      <w:b/>
      <w:color w:val="000000"/>
      <w:sz w:val="32"/>
    </w:rPr>
  </w:style>
  <w:style w:type="paragraph" w:customStyle="1" w:styleId="PaperH1">
    <w:name w:val="PaperH1"/>
    <w:pPr>
      <w:keepNext/>
      <w:spacing w:line="240" w:lineRule="auto" w:after="160" w:before="240"/>
      <w:jc w:val="center"/>
    </w:pPr>
    <w:rPr>
      <w:rFonts w:ascii="Times New Roman" w:hAnsi="Times New Roman" w:eastAsia="黑体"/>
      <w:b/>
      <w:color w:val="000000"/>
      <w:sz w:val="28"/>
    </w:rPr>
  </w:style>
  <w:style w:type="paragraph" w:customStyle="1" w:styleId="PaperH2">
    <w:name w:val="PaperH2"/>
    <w:pPr>
      <w:keepNext/>
      <w:spacing w:line="240" w:lineRule="auto" w:after="100" w:before="160"/>
    </w:pPr>
    <w:rPr>
      <w:rFonts w:ascii="Times New Roman" w:hAnsi="Times New Roman" w:eastAsia="宋体"/>
      <w:b/>
      <w:color w:val="000000"/>
      <w:sz w:val="24"/>
    </w:rPr>
  </w:style>
  <w:style w:type="paragraph" w:customStyle="1" w:styleId="PaperCaption">
    <w:name w:val="PaperCaption"/>
    <w:pPr>
      <w:spacing w:line="240" w:lineRule="auto" w:after="60" w:before="0"/>
      <w:jc w:val="center"/>
    </w:pPr>
    <w:rPr>
      <w:rFonts w:ascii="Times New Roman" w:hAnsi="Times New Roman" w:eastAsia="宋体"/>
      <w:b w:val="0"/>
      <w:color w:val="000000"/>
      <w:sz w:val="24"/>
    </w:rPr>
  </w:style>
  <w:style w:type="paragraph" w:customStyle="1" w:styleId="PaperTable">
    <w:name w:val="PaperTable"/>
    <w:pPr>
      <w:spacing w:line="240" w:lineRule="auto" w:after="60" w:before="0"/>
    </w:pPr>
    <w:rPr>
      <w:rFonts w:ascii="Times New Roman" w:hAnsi="Times New Roman" w:eastAsia="宋体"/>
      <w:b w:val="0"/>
      <w:color w:val="000000"/>
      <w:sz w:val="24"/>
    </w:rPr>
  </w:style>
  <w:style w:type="paragraph" w:customStyle="1" w:styleId="PaperEquation">
    <w:name w:val="PaperEquation"/>
    <w:pPr>
      <w:spacing w:line="240" w:lineRule="auto" w:after="60" w:before="0"/>
      <w:jc w:val="center"/>
    </w:pPr>
    <w:rPr>
      <w:rFonts w:ascii="Times New Roman" w:hAnsi="Times New Roman" w:eastAsia="宋体"/>
      <w:b w:val="0"/>
      <w:color w:val="000000"/>
      <w:sz w:val="24"/>
    </w:rPr>
  </w:style>
  <w:style w:type="paragraph" w:customStyle="1" w:styleId="PaperRef">
    <w:name w:val="PaperRef"/>
    <w:pPr>
      <w:spacing w:line="240" w:lineRule="auto" w:after="60" w:before="0"/>
    </w:pPr>
    <w:rPr>
      <w:rFonts w:ascii="Times New Roman" w:hAnsi="Times New Roman" w:eastAsia="宋体"/>
      <w:b w:val="0"/>
      <w:color w:val="000000"/>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footer" Target="footer3.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header" Target="header4.xm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LibreOffice/25.8.7.3$Windows_X86_64 LibreOffice_project/30742500f2d3eb4366ac312fa33d3dcabdb3eba5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2023-09-08T17:14:00Z</dcterms:created>
  <dc:creator/>
  <dc:description/>
  <cp:keywords/>
  <dc:language>zh-CN</dc:language>
  <cp:lastModifiedBy/>
  <cp:lastPrinted>2023-09-12T08:52:00Z</cp:lastPrinted>
  <dcterms:modified xsi:type="dcterms:W3CDTF">2026-08-27T12:57:00Z</dcterms:modified>
  <cp:revision>1</cp:revision>
  <dc:subject/>
  <dc:title>算力约束下大语言模型的质量评价资源配置与能力前沿预测</dc:title>
  <cp:category/>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CB813F608F8C47299E072C9CA56D6E41_12</vt:lpwstr>
  </property>
  <property fmtid="{D5CDD505-2E9C-101B-9397-08002B2CF9AE}" pid="3" name="KSOProductBuildVer">
    <vt:lpwstr>2052-12.1.0.18240</vt:lpwstr>
  </property>
  <property fmtid="{D5CDD505-2E9C-101B-9397-08002B2CF9AE}" pid="4" name="_ms_pID_725343">
    <vt:lpwstr>(4)E3BzA9idHJ3fMsb1peQDBLAn9cfTq1XQ1SSk/kRKfHKrsZlNDH3Hde08wmWyC02dd69+H2cB
mx6vOKzq9+pmMRCwMqb0JBqGnQKRTvN48ylYWonHDkJq8Qk04H4Ld8h8cReYVtSvJn83TRxb
jXJzZ25R4VFk9XgukOzEGZoyRcjuZbR2DWExs2eRiyPN8+j5Mdj90CNtDlTWZ/04ToD0IZbh
Lx+YXscxMPAz3mzS2c</vt:lpwstr>
  </property>
  <property fmtid="{D5CDD505-2E9C-101B-9397-08002B2CF9AE}" pid="5" name="_ms_pID_7253431">
    <vt:lpwstr>emdB8XKXYoavASNt+xklCJOcwnDPst/f8TEzKn3xWF3VENqZCHNGLk
h9arA1zZPdnxPPKWjGc/tTZCDj9GGbwDHRJskOdgcmpcFwfmwAgdYJw1bMn7E6VVN17v9K/2
w7lovRjeerbNo9IM6Wm/1nWgZe1YYEH39OwNOjuxuwOJzcs6GOhhpGZN32XuEGBhnscUOwML
eaEWqb3wakMC+Lt+e79Hf748ovH2NYAszI2V</vt:lpwstr>
  </property>
  <property fmtid="{D5CDD505-2E9C-101B-9397-08002B2CF9AE}" pid="6" name="_ms_pID_7253431_00">
    <vt:lpwstr>_ms_pID_7253431</vt:lpwstr>
  </property>
  <property fmtid="{D5CDD505-2E9C-101B-9397-08002B2CF9AE}" pid="7" name="_ms_pID_7253432">
    <vt:lpwstr>vp3+wMAcniTjVjpgzbHLRN+8tEBL+7KW1y6g
9mlyWYYSSj8rXOLbQmJ2dXIwaGLCSqR9TU9uhgNR/sJLUshrdmrOjY4Ydh7MDa7vsiP6xi+1
0in2VwsEaz/NkPwq2qnHnSmfJxbREJHF7OB1Im3OuXJMddyOclCwOlQ4YbSgLpVCbLF1q6b0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
B5+uMH6D47Og84mRQ9pZLUfLRBxcrU8cHx9qQAZtW43FneyDTFqKmbNFAxelrb/4RMbSzduM
o37WCwnvUdbRnayhgBLyVmCGoSXpyx8KQVaJu82H</vt:lpwstr>
  </property>
  <property fmtid="{D5CDD505-2E9C-101B-9397-08002B2CF9AE}" pid="10" name="_ms_pID_7253433_00">
    <vt:lpwstr>_ms_pID_7253433</vt:lpwstr>
  </property>
  <property fmtid="{D5CDD505-2E9C-101B-9397-08002B2CF9AE}" pid="11" name="_ms_pID_725343_00">
    <vt:lpwstr>_ms_pID_725343</vt:lpwstr>
  </property>
  <property fmtid="{D5CDD505-2E9C-101B-9397-08002B2CF9AE}" pid="12" name="sflag">
    <vt:lpwstr>1369883589</vt:lpwstr>
  </property>
</Properties>
</file>