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22项规则构造评分与五维解释画像、来源分层标度律、支持域约束优化和能力前沿条件预测框架，区分附件内部估计、半合成校准与外生情景。</w:t>
      </w:r>
    </w:p>
    <w:p>
      <w:pPr>
        <w:pStyle w:val="PaperBody"/>
        <w:widowControl/>
      </w:pPr>
      <w:r>
        <w:t>针对问题一，以A1固定参考分位和公开用途目标把全部22项转为较高分代表较接近所声明参考的效用，等权构造Q_full，并保留五维画像与DQ0作解释层。A1 commoncrawl/arxiv的Q_full均值为0.7600/0.7356，A2/A3非重叠扩展与相应领域接近；两层排序不同，说明该综合分不是普适质量真值。42项候选有7项统计分歧、3项域别反转，确认语义目标取舍为0，不表示指标完全一致。17域配比的1M留出RMSE由0.2846降至0.2278，13域均改善；60M部分迁移、1B失败，10B/70B估算外推误差比为2.3452/2.2672。</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已构建线性和单调Loss–Benchmark候选映射，但留出误差不及均值基准，故直接在能力分数空间分析。主规格的17.02%仅是参数关联描述份额，82.98%是含未观测训练D的剩余分量；六条可用N/D记录的系数留一检验不稳，完整规模和技术份额不能识别。在假设训练D固定、采用正参数端点路径的外生放缓情景下，2027年中心为79.76/77.93/76.11，2028年为87.13/83.48/79.84；原模型两期限的95%条件区间仍为[61.24,90.40]/[69.58,95.57]，四模型中心范围为52.17—83.77/52.33—97.11。最后观测距原点560天，仅有4/13周回测，两期限均为长期外推。</w:t>
      </w:r>
    </w:p>
    <w:p>
      <w:pPr>
        <w:pStyle w:val="PaperBody"/>
        <w:widowControl/>
      </w:pPr>
      <w:r>
        <w:t>本文的主要方法特点是将22项规则构造分与五维解释层并报、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1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2 问题分析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H1"/>
        <w:widowControl/>
      </w:pPr>
      <w:r>
        <w:t>3 符号说明与模型假设</w:t>
      </w:r>
    </w:p>
    <w:p>
      <w:pPr>
        <w:pStyle w:val="PaperBody"/>
        <w:widowControl/>
      </w:pPr>
      <w:r>
        <w:t>表1给出统一符号。除题设原始成本在推导中明确转换外，所有章节的N、D均采用十亿单位；不同来源Loss不视为自动同量尺。时间在参数关联回归中以年计，在动态预测中以周计，分别注明。</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Q_​full，W0/W1</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22项用途规则综合分、等权/去冗余</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[0,1]；评分约定</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[0,1]，不等同Q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g_​ref，ρ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外生对数规模增长参照、增长保留比例</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每周、0/0.5/1</w:t>
            </w:r>
          </w:p>
        </w:tc>
      </w:tr>
    </w:tbl>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4 数据预处理与证据范围</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数据说明中的页边浅色干扰文本不作为题目定义或模型指令，只采用可见正文并与字段、原件哈希核对。无法辨明生成机制的字段保留不确定标记，不为了让结果完整而插补训练量或翻转质量方向。</w:t>
      </w:r>
    </w:p>
    <w:p>
      <w:pPr>
        <w:pStyle w:val="PaperBody"/>
        <w:widowControl/>
      </w:pPr>
      <w:r>
        <w:t>AI辅助使用说明：本稿的结果核对、文字整合及排版代码使用Codex辅助，当前会话标识为GPT-6，开发机构为OpenAI；版本发布日期未获独立核验。历史阶段工具的准确版本与日期仍需参赛队依据原始使用记录补充，不能由本稿代为推定。机器计算结果按冻结产物逐项引用；参赛队仍须理解模型、复核表达并完成自己的表述。此说明依据随题提供的AI使用规定保留，不包含参赛者身份。</w:t>
      </w:r>
    </w:p>
    <w:p>
      <w:pPr>
        <w:pStyle w:val="PaperH1"/>
        <w:widowControl/>
      </w:pPr>
      <w:r>
        <w:t>5 问题一 多维质量评价与领域配比建模</w:t>
      </w:r>
    </w:p>
    <w:p>
      <w:pPr>
        <w:pStyle w:val="PaperH2"/>
        <w:widowControl/>
      </w:pPr>
      <w:r>
        <w:t>5.1 二十二项综合评分与五维解释性画像</w:t>
      </w:r>
    </w:p>
    <w:p>
      <w:pPr>
        <w:pStyle w:val="PaperBody"/>
        <w:widowControl/>
      </w:pPr>
      <w:r>
        <w:t>数据质量同时涉及教育价值、可读性、广告、内容用途和文本形态。先按竞赛附件[5]和字段数据卡[6]检查指标含义，再统一有依据的方向，可以避免把数学变换误当作质量判断。对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本稿将质量表示分为两层。第一层是覆盖全部22项的规则构造综合分 Q_full，满足样本与领域评分的题面要求；第二层是原五维可解释画像及其摘要 DQ0，用于解释评分变化与冲突。两层均不由训练Loss选择权重，也不等同真实训练质量收益。22项字段定义、列表压缩和用途边界列于附录 A。</w:t>
      </w:r>
    </w:p>
    <w:p>
      <w:pPr>
        <w:pStyle w:val="PaperBody"/>
        <w:widowControl/>
      </w:pPr>
      <w:r>
        <w:t>Q_full 使用同一套 A1 固定训练参考的中秩经验分位，逐项化解量纲。五个有来源支持的正向信号按较高分位给较高效用。其余17项的原值没有可核实的通用“越大越好”方向：以 A1 训练集中 DQ0 最高20%的文本为**指定评价用途的参考画像**，对每项求其中位分位 t_j，再用 `u_j=1−|F_j(x_j)−t_j|` 定义目标接近效用。因而所有经处理的效用都按所公布的评分规则“越高越好”；这不宣称更长文本、更多数字或更接近某个 DSIR 原值在所有任务中真实更好。QuRating 的四个原分量各自转为目标接近效用后再平均为一项；词数和句数先取 log(1+x)；n-gram 超界值保留原值，只经秩变换。缺失项填中性效用0.5，并另报每条记录的实测覆盖数。</w:t>
      </w:r>
    </w:p>
    <w:p>
      <w:pPr>
        <w:pStyle w:val="PaperBody"/>
        <w:widowControl/>
      </w:pPr>
      <w:r>
        <w:t>主方案 W0 将22项效用等权平均，即 `Q_full(i)=(1/22)Σ_{j=1}^{22}u_{ij}`。不读Loss的去冗余对照 W1 在 A1 参考数据上按绝对 Spearman 相关高于0.5的重叠程度缩小权重。272505条记录均有逐样本 W0、W1、DQ0 和覆盖数，272486条22项完整。域均值按文本数加权；表3列出 A1 七域及去重扩展结果，区间为域内文本重新抽样的均值分位，仅衡量当前标注体系的组成敏感性。</w:t>
      </w:r>
    </w:p>
    <w:p>
      <w:pPr>
        <w:pStyle w:val="PaperCaption"/>
        <w:keepNext/>
        <w:widowControl/>
      </w:pPr>
      <w:r>
        <w:t>表3 22项综合评分的领域结果及五维摘要对照</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来源领域</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文本数</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Q_​full等权均值</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样本bootstrap范围</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去冗余W1</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DQ0</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commoncrawl</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9640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0.7600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0.7587—0.7614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0.5671</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arxiv</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1419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0.7341—0.7372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0.7907</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stackexchange</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0.7123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0.7113—0.7137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0.7056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0.5524</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book</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0.6669—0.6803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0.6812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0.5508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0.6729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0.6711—0.6750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wikipedia</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0.6536—0.6576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0.5055</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github</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0.5773—0.5801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0.5693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0.3296</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A2 arxiv新增ID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16104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0.7333—0.7343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0.7868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A3 github新增ID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193752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0.5776—0.5784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0.5688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0.3304</w:t>
            </w:r>
          </w:p>
        </w:tc>
      </w:tr>
    </w:tbl>
    <w:p>
      <w:pPr>
        <w:pStyle w:val="PaperBody"/>
        <w:widowControl/>
      </w:pPr>
      <w:r>
        <w:t>W0/W1 在 A1 七域的点估计次序一致，说明去冗余权重并未整体颠覆综合分。两者的 commoncrawl/arxiv 分差在 W1 中很小，不应仅凭排序称二者稳定有别。五维 DQ0 把 arxiv 排在 commoncrawl 之前，Q_full 则相反；造成差别的是17项用途目标与等权约定。A2/A3 去除与 A1 重叠 ID 后与对应 arxiv/github 领域均值接近，属于同一标注体系中的扩展复现，而非独立人工质量真值。这些差异正是保留五维解释层的理由。</w:t>
      </w:r>
    </w:p>
    <w:p>
      <w:pPr>
        <w:pStyle w:val="PaperBody"/>
        <w:widowControl/>
      </w:pPr>
      <w:r>
        <w:t>五项核心信号构成“数值越高、对应描述越好”的主坐标。其余指标仍进入完整画像：词数和句数用于长度及目标接近评价；推理复杂度、专业性和文本形态依赖用途；QuRating 的四个面向先分别处理；DSIR 仅作目标相似性和长度混杂诊断。Q_full是披露目标选择后的综合评价，不把某一分数当作所有训练用途共有的真实质量排序。</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图1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ID。图1给出五维域画像。A1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H2"/>
        <w:widowControl/>
      </w:pPr>
      <w:r>
        <w:t>5.2 区分语义冲突与统计分歧</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15。**语义冲突未确认不等于指标评价一致。**以可读性与无广告程度为例，τ=0.80 时 A1 的极端分歧率为 8.811%，A2、A3 非重叠扩展分别为 13.332%、8.676%。阈值改为0.75或0.90时需在支撑表并列解释；这些方向候选表明同一文本的评价有实际分歧。处理方式是在 Q_full 中明示用途与目标，在五维层逐项披露相反评价，对近重复 DSIR 做 W1 去冗余对照，而非用一个标量“消除”真实分歧。</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H2"/>
        <w:widowControl/>
      </w:pPr>
      <w:r>
        <w:t>5.3 单纯形约束下的配比响应</w:t>
      </w:r>
    </w:p>
    <w:p>
      <w:pPr>
        <w:pStyle w:val="PaperBody"/>
        <w:widowControl/>
      </w:pPr>
      <w:r>
        <w:t>质量标注表与训练配方表缺少同运行质量配对，故分别建立描述质量与配比预测两条证据链。配比实验的研究背景见RegMix[7]；本文独立使用附件运行估计自己的冻结参数。A4/A5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表4汇总主要验证，图2展示逐域结果。1M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表4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图2 1M留出样本的逐领域预测误差。全13域改善仍伴随不同的误差水平，完整数值见附录B。</w:t>
      </w:r>
    </w:p>
    <w:p>
      <w:pPr>
        <w:pStyle w:val="PaperH2"/>
        <w:widowControl/>
      </w:pPr>
      <w:r>
        <w:t>5.4 支持范围与外推结论</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个为域外。近邻预测有证据，并不意味着整个单纯形都有可信预测。对 A12配比/A13估算Loss 和 A14配比/A15估算Loss 另外按 index 成对连接，分别为10B/70B的63个运行。冻结 M1 未重拟合，只比较中心化响应形状、排序与训练几何支持。表5给出补充结果。</w:t>
      </w:r>
    </w:p>
    <w:p>
      <w:pPr>
        <w:pStyle w:val="PaperCaption"/>
        <w:keepNext/>
        <w:widowControl/>
      </w:pPr>
      <w:r>
        <w:t>表5 A12—A15估算外推压力检验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估算规模</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中心化RMSE比 M1/M0</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预测与估算R0秩相关</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方向一致率</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严格训练凸包内</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2.3452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−0.4494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30.16%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63/63</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70B，63组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2.2672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−0.5122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31.75%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63/63</w:t>
            </w:r>
          </w:p>
        </w:tc>
      </w:tr>
    </w:tbl>
    <w:p>
      <w:pPr>
        <w:pStyle w:val="PaperBody"/>
        <w:widowControl/>
      </w:pPr>
      <w:r>
        <w:t>两组配比与训练配比有完全重合的点，最近训练距离中位数为0，因此形状失配不由配比几何域外独自解释。13域平均中心化误差比另为1.7295和2.1613。估算Loss不能升级为独立真实模型验证；它与已有1B迁移失败方向一致，不改变1M范围内的有效结论。</w:t>
      </w:r>
    </w:p>
    <w:p>
      <w:pPr>
        <w:pStyle w:val="PaperBody"/>
        <w:widowControl/>
      </w:pPr>
      <w:r>
        <w:t>问题一现输出22项规则构造综合分 Q_full、样本及领域结果、五维描述与 DQ0、冲突分层处理，以及1M范围内的配比关联和13域误差；A12—A15成对估算外推已计算。Q_full的17项用途目标属评价约定，缺少同运行质量键仍使独立质量系数不可识别；规模迁移和真实供给不充分，使后续优化必须附加支持约束。</w:t>
      </w:r>
    </w:p>
    <w:p>
      <w:pPr>
        <w:pStyle w:val="PaperH1"/>
        <w:widowControl/>
      </w:pPr>
      <w:r>
        <w:t>6 问题二 来源分层的广义标度律</w:t>
      </w:r>
    </w:p>
    <w:p>
      <w:pPr>
        <w:pStyle w:val="PaperH2"/>
        <w:widowControl/>
      </w:pPr>
      <w:r>
        <w:t>6.1 来源内估计与参数含义</w:t>
      </w:r>
    </w:p>
    <w:p>
      <w:pPr>
        <w:pStyle w:val="PaperBody"/>
        <w:widowControl/>
      </w:pPr>
      <w:r>
        <w:t>B1 提供 8 个参数规模、每个规模 147 个训练检查点，共 1176 行。N、D 分别以十亿参数和十亿 token 为单位。采用加性幂律模型[1]，按每条规模轨迹等权的均方误差估计五参数；原网格各轨迹等长，此目标与逐行均方误差等价。12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（6）</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降低且边际改善递减，不证明现实训练完全满足加性可分离。表6给出估计及整轨迹重抽样的条件分位区间。</w:t>
      </w:r>
    </w:p>
    <w:p>
      <w:pPr>
        <w:pStyle w:val="PaperCaption"/>
        <w:keepNext/>
        <w:widowControl/>
      </w:pPr>
      <w:r>
        <w:t>表6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（7）</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H2"/>
        <w:widowControl/>
      </w:pPr>
      <w:r>
        <w:t>6.2 轨迹验证与跨来源诊断</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点。表7与图3显示幂律模型相对于均值和对数线性对照的结果。</w:t>
      </w:r>
    </w:p>
    <w:p>
      <w:pPr>
        <w:pStyle w:val="PaperCaption"/>
        <w:keepNext/>
        <w:widowControl/>
      </w:pPr>
      <w:r>
        <w:t>表7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7" name="Picture 7"/>
            <wp:cNvGraphicFramePr>
              <a:graphicFrameLocks noChangeAspect="1"/>
            </wp:cNvGraphicFramePr>
            <a:graphic>
              <a:graphicData uri="http://schemas.openxmlformats.org/drawingml/2006/picture">
                <pic:pic>
                  <pic:nvPicPr>
                    <pic:cNvPr id="0" name="FIG-Q2-R5-002.png"/>
                    <pic:cNvPicPr/>
                  </pic:nvPicPr>
                  <pic:blipFill>
                    <a:blip r:embed="rId15"/>
                    <a:stretch>
                      <a:fillRect/>
                    </a:stretch>
                  </pic:blipFill>
                  <pic:spPr>
                    <a:xfrm>
                      <a:off x="0" y="0"/>
                      <a:ext cx="5941060" cy="3928764"/>
                    </a:xfrm>
                    <a:prstGeom prst="rect"/>
                  </pic:spPr>
                </pic:pic>
              </a:graphicData>
            </a:graphic>
          </wp:inline>
        </w:drawing>
      </w:r>
    </w:p>
    <w:p>
      <w:pPr>
        <w:pStyle w:val="PaperCaption"/>
        <w:widowControl/>
      </w:pPr>
      <w:r>
        <w:t>图3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H2"/>
        <w:widowControl/>
      </w:pPr>
      <w:r>
        <w:t>6.3 边际效用 弹性与规模替代</w:t>
      </w:r>
    </w:p>
    <w:p>
      <w:pPr>
        <w:pStyle w:val="PaperBody"/>
        <w:widowControl/>
      </w:pPr>
      <w:r>
        <w:t>令 U=A N^(−α)、V=B D^(−β)。对式（6）求导并按总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（8）</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（9）</w:t>
      </w:r>
    </w:p>
    <w:p>
      <w:pPr>
        <w:pStyle w:val="PaperBody"/>
        <w:widowControl/>
      </w:pPr>
      <w:r>
        <w:t>有限替代要求右端分母为正，且新点仍在模型支持范围。图4只展示总Loss弹性在附件支持网格中的分布；边际导数与等Loss替代由式（8）—（9）及数值示例承担。在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3376073"/>
            <wp:docPr id="8" name="Picture 8"/>
            <wp:cNvGraphicFramePr>
              <a:graphicFrameLocks noChangeAspect="1"/>
            </wp:cNvGraphicFramePr>
            <a:graphic>
              <a:graphicData uri="http://schemas.openxmlformats.org/drawingml/2006/picture">
                <pic:pic>
                  <pic:nvPicPr>
                    <pic:cNvPr id="0" name="FIG4_Q2_TOTAL_LOSS_ELASTICITY_REEXPORT.png"/>
                    <pic:cNvPicPr/>
                  </pic:nvPicPr>
                  <pic:blipFill>
                    <a:blip r:embed="rId17"/>
                    <a:stretch>
                      <a:fillRect/>
                    </a:stretch>
                  </pic:blipFill>
                  <pic:spPr>
                    <a:xfrm>
                      <a:off x="0" y="0"/>
                      <a:ext cx="4320000" cy="3376073"/>
                    </a:xfrm>
                    <a:prstGeom prst="rect"/>
                  </pic:spPr>
                </pic:pic>
              </a:graphicData>
            </a:graphic>
          </wp:inline>
        </w:drawing>
      </w:r>
    </w:p>
    <w:p>
      <w:pPr>
        <w:pStyle w:val="PaperCaption"/>
        <w:widowControl/>
      </w:pPr>
      <w:r>
        <w:t>图4 参数与数据规模对总Loss的弹性热图。横纵轴按B1网格位置排布；图中没有有限替代曲线，替代关系由式（9）给出。</w:t>
      </w:r>
    </w:p>
    <w:p>
      <w:pPr>
        <w:pStyle w:val="PaperH2"/>
        <w:widowControl/>
      </w:pPr>
      <w:r>
        <w:t>6.4 广义质量与配比项的条件解释</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（10）</w:t>
      </w:r>
    </w:p>
    <w:p>
      <w:pPr>
        <w:pStyle w:val="PaperBody"/>
        <w:widowControl/>
      </w:pPr>
      <w:r>
        <w:t>Q0=0.5，λ 取 0、0.5、1、1.5。ΔL_A 为 A 来源中相对于参考配比的 R0 变化；k_s 还包含 A/B Loss 量尺转换，无法由现有数据估计。默认基线为 h_Q=0、k_s=0。由此广义式在参考质量与配比处退化为式（6）；非零质量项和跨来源配比项只作为明确假定的情景，不以拟合符号冒充已经识别的统一规律。</w:t>
      </w:r>
    </w:p>
    <w:p>
      <w:pPr>
        <w:pStyle w:val="PaperCaption"/>
        <w:keepNext/>
        <w:widowControl/>
      </w:pPr>
      <w:r>
        <w:t>表8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替代由式（10）求导；在固定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（11）</w:t>
      </w:r>
    </w:p>
    <w:p>
      <w:pPr>
        <w:pStyle w:val="PaperBody"/>
        <w:widowControl/>
      </w:pPr>
      <w:r>
        <w:t>表8的替代量取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（12）</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不能直接进入跨规模确定性优化。问题二据此得到以附件内部N–D幂律为主干、以半合成质量项和局部/跨源条件配比项扩展的分层广义标度框架。B4/B5 仅为用目标组均值中心化的相对响应诊断；四因素统一真实经验规律与跨来源绝对Loss映射未识别。</w:t>
      </w:r>
    </w:p>
    <w:p>
      <w:pPr>
        <w:pStyle w:val="PaperH1"/>
        <w:widowControl/>
      </w:pPr>
      <w:r>
        <w:t>7 问题三 支持域约束下的资源配置</w:t>
      </w:r>
    </w:p>
    <w:p>
      <w:pPr>
        <w:pStyle w:val="PaperH2"/>
        <w:widowControl/>
      </w:pPr>
      <w:r>
        <w:t>7.1 统一单位的算力代理</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（13）</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（14）</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主问题关闭质量收益和配比运输，以式（6）最小化附件内部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H2"/>
        <w:widowControl/>
      </w:pPr>
      <w:r>
        <w:t>7.2 解析最优配置与结构转移</w:t>
      </w:r>
    </w:p>
    <w:p>
      <w:pPr>
        <w:pStyle w:val="PaperBody"/>
        <w:widowControl/>
      </w:pPr>
      <w:r>
        <w:t>固定 L_ctx 且 r=0 时，若两支持上界都可承担，则取两上界并允许预算闲置。否则目标对 N、D 均单调下降，预算紧约束给出 ND=K=c/k。将 D=K/N 代入式（6），令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（15）</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（16）</w:t>
      </w:r>
    </w:p>
    <w:p>
      <w:pPr>
        <w:pStyle w:val="PaperBody"/>
        <w:widowControl/>
      </w:pPr>
      <w:r>
        <w:t>式（16）仅用于预算紧且可行区间非空的情形；若 K&lt;N_min D_min 则不可行。该推导同时说明内点 N、D 对预算的弹性分别为 0.451522、0.548478。表9给出参考上下文 2048、质量收益与配比运输均关闭时的三个代表配置。</w:t>
      </w:r>
    </w:p>
    <w:p>
      <w:pPr>
        <w:pStyle w:val="PaperCaption"/>
        <w:keepNext/>
        <w:widowControl/>
      </w:pPr>
      <w:r>
        <w:t>表9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定义结构转移为最优配置的活跃约束集合改变，而不把平滑比例变化直接称为质变。图5显示，预算约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5941060" cy="4626069"/>
            <wp:docPr id="9" name="Picture 9"/>
            <wp:cNvGraphicFramePr>
              <a:graphicFrameLocks noChangeAspect="1"/>
            </wp:cNvGraphicFramePr>
            <a:graphic>
              <a:graphicData uri="http://schemas.openxmlformats.org/drawingml/2006/picture">
                <pic:pic>
                  <pic:nvPicPr>
                    <pic:cNvPr id="0" name="FIG5_Q3_BUDGET_REEXPORT.png"/>
                    <pic:cNvPicPr/>
                  </pic:nvPicPr>
                  <pic:blipFill>
                    <a:blip r:embed="rId18"/>
                    <a:stretch>
                      <a:fillRect/>
                    </a:stretch>
                  </pic:blipFill>
                  <pic:spPr>
                    <a:xfrm>
                      <a:off x="0" y="0"/>
                      <a:ext cx="5941060" cy="4626069"/>
                    </a:xfrm>
                    <a:prstGeom prst="rect"/>
                  </pic:spPr>
                </pic:pic>
              </a:graphicData>
            </a:graphic>
          </wp:inline>
        </w:drawing>
      </w:r>
    </w:p>
    <w:p>
      <w:pPr>
        <w:pStyle w:val="PaperCaption"/>
        <w:widowControl/>
      </w:pPr>
      <w:r>
        <w:t>图5 题设成本代理与附件内部Loss下的预算配置及损失路径。虚线为统计支持界活跃位置，平台不代表真实训练收益终极饱和。</w:t>
      </w:r>
    </w:p>
    <w:p>
      <w:pPr>
        <w:pStyle w:val="PaperH2"/>
        <w:widowControl/>
      </w:pPr>
      <w:r>
        <w:t>7.3 质量成本选择与投入门槛</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（17）</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表10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5941060" cy="4626069"/>
            <wp:docPr id="10" name="Picture 10"/>
            <wp:cNvGraphicFramePr>
              <a:graphicFrameLocks noChangeAspect="1"/>
            </wp:cNvGraphicFramePr>
            <a:graphic>
              <a:graphicData uri="http://schemas.openxmlformats.org/drawingml/2006/picture">
                <pic:pic>
                  <pic:nvPicPr>
                    <pic:cNvPr id="0" name="FIG6_Q3_QUALITY_REEXPORT.png"/>
                    <pic:cNvPicPr/>
                  </pic:nvPicPr>
                  <pic:blipFill>
                    <a:blip r:embed="rId19"/>
                    <a:stretch>
                      <a:fillRect/>
                    </a:stretch>
                  </pic:blipFill>
                  <pic:spPr>
                    <a:xfrm>
                      <a:off x="0" y="0"/>
                      <a:ext cx="5941060" cy="4626069"/>
                    </a:xfrm>
                    <a:prstGeom prst="rect"/>
                  </pic:spPr>
                </pic:pic>
              </a:graphicData>
            </a:graphic>
          </wp:inline>
        </w:drawing>
      </w:r>
    </w:p>
    <w:p>
      <w:pPr>
        <w:pStyle w:val="PaperCaption"/>
        <w:widowControl/>
      </w:pPr>
      <w:r>
        <w:t>图6 三种题设质量成本下的条件Q与Loss路径。收益假设来自半合成质量校准，曲线不是实测投资回报。</w:t>
      </w:r>
    </w:p>
    <w:p>
      <w:pPr>
        <w:pStyle w:val="PaperBody"/>
        <w:widowControl/>
      </w:pPr>
      <w:r>
        <w:t>表10对比 10¹⁹ 预算、2048 上下文和参考收益 h_Q=0.361995 下的结果。图6展示完整条件投入路径。成本形式改变机会成本，因而即使采用相同收益假设，也可能给出几乎不投入、中等投入或直接投向上界的不同质量选择。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（18）</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H2"/>
        <w:widowControl/>
      </w:pPr>
      <w:r>
        <w:t>7.4 局部配比与可实施边界</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H2"/>
        <w:widowControl/>
      </w:pPr>
      <w:r>
        <w:t>7.5 上下文成本与解析交点</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（19）</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H2"/>
        <w:widowControl/>
      </w:pPr>
      <w:r>
        <w:t>7.6 影子价格与不确定性</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5941060" cy="4626069"/>
            <wp:docPr id="11" name="Picture 11"/>
            <wp:cNvGraphicFramePr>
              <a:graphicFrameLocks noChangeAspect="1"/>
            </wp:cNvGraphicFramePr>
            <a:graphic>
              <a:graphicData uri="http://schemas.openxmlformats.org/drawingml/2006/picture">
                <pic:pic>
                  <pic:nvPicPr>
                    <pic:cNvPr id="0" name="FIG7_Q3_UNCERTAINTY_REEXPORT.png"/>
                    <pic:cNvPicPr/>
                  </pic:nvPicPr>
                  <pic:blipFill>
                    <a:blip r:embed="rId20"/>
                    <a:stretch>
                      <a:fillRect/>
                    </a:stretch>
                  </pic:blipFill>
                  <pic:spPr>
                    <a:xfrm>
                      <a:off x="0" y="0"/>
                      <a:ext cx="5941060" cy="4626069"/>
                    </a:xfrm>
                    <a:prstGeom prst="rect"/>
                  </pic:spPr>
                </pic:pic>
              </a:graphicData>
            </a:graphic>
          </wp:inline>
        </w:drawing>
      </w:r>
    </w:p>
    <w:p>
      <w:pPr>
        <w:pStyle w:val="PaperCaption"/>
        <w:widowControl/>
      </w:pPr>
      <w:r>
        <w:t>图7 联合参数传播与机制情景范围。上图为条件参数带，下图为不同成本与收益机制的情景包络，后者不是置信区间。</w:t>
      </w:r>
    </w:p>
    <w:p>
      <w:pPr>
        <w:pStyle w:val="PaperBody"/>
        <w:widowControl/>
      </w:pPr>
      <w:r>
        <w:t>保留 Q2 的 200 个联合五参数向量，以五档上下文和 51 个预算传播，共得到 51000 个条件配置。没有把各参数的边际区间独立组合。图7分开显示参数数值敏感性和收益机制情景范围。例如参考低预算的参数条件区间约为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H1"/>
        <w:widowControl/>
      </w:pPr>
      <w:r>
        <w:t>8 问题四 能力前沿分解与条件预测</w:t>
      </w:r>
    </w:p>
    <w:p>
      <w:pPr>
        <w:pStyle w:val="PaperH2"/>
        <w:widowControl/>
      </w:pPr>
      <w:r>
        <w:t>8.1 同口径能力与研究样本</w:t>
      </w:r>
    </w:p>
    <w:p>
      <w:pPr>
        <w:pStyle w:val="PaperBody"/>
        <w:widowControl/>
      </w:pPr>
      <w:r>
        <w:t>资源投入改变训练 Loss，但不能无条件转换成多任务能力。问题四直接使用竞赛附件[5]的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（20）</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H2"/>
        <w:widowControl/>
      </w:pPr>
      <w:r>
        <w:t>8.2 Loss与能力分数桥接未通过</w:t>
      </w:r>
    </w:p>
    <w:p>
      <w:pPr>
        <w:pStyle w:val="PaperBody"/>
        <w:widowControl/>
      </w:pPr>
      <w:r>
        <w:t>C6 为主桥接表，C5 仅作嵌套对照，75 行与 43 行不相加。本文实际建立并比较候选 Loss–Benchmark 线性映射 `Benchmark=a+b·Loss` 和按Loss排序的单调插值映射，并以训练组均值为零信息基准；方向、拟合和留一规模误差在原单位单独报告。附件仅将七个 Pythia 模型列为高可比，且属于同一家族；即使其 Loss 与 B1 末检查点一致，外部验证语料、tokenizer 和配对时点也未完全核实。表11给出高可比组的留一规模结果。</w:t>
      </w:r>
    </w:p>
    <w:p>
      <w:pPr>
        <w:pStyle w:val="PaperCaption"/>
        <w:keepNext/>
        <w:widowControl/>
      </w:pPr>
      <w:r>
        <w:t>表11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因此本文已完成候选映射的构建与误差检验，但**未建立可用于来源间数值运输的可靠映射**；该题意目标只能以验证失败收束。问题二、三的 Loss 保留原附件单位，仅作为资源变化的机制参考；后续能力预测在 C8 分数空间直接完成。桥接失败不通过另挑样本或改名为“弱映射”消除。</w:t>
      </w:r>
    </w:p>
    <w:p>
      <w:pPr>
        <w:pStyle w:val="PaperH2"/>
        <w:widowControl/>
      </w:pPr>
      <w:r>
        <w:t>8.3 参数规模关联与剩余性能分量</w:t>
      </w:r>
    </w:p>
    <w:p>
      <w:pPr>
        <w:pStyle w:val="PaperBody"/>
        <w:widowControl/>
      </w:pPr>
      <w:r>
        <w:t>训练 D 在853条主样本中仅九条非空，满足现有阶段可用定义且同时有N与C4 compute的仅六条。完整 N–D 贡献无法识别。先用含类型和家族效应的回归描述参数关联；未知家族保留并显式编码，不推断合并模型的血缘。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（21）</w:t>
      </w:r>
    </w:p>
    <w:p>
      <w:pPr>
        <w:pStyle w:val="PaperBody"/>
        <w:widowControl/>
      </w:pPr>
      <w:r>
        <w:t>式（21）中的时间以年计。θ_N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（22）</w:t>
      </w:r>
    </w:p>
    <w:p>
      <w:pPr>
        <w:pStyle w:val="PaperBody"/>
        <w:widowControl/>
      </w:pPr>
      <w:r>
        <w:t>主规格 θ_N=4.595943，得到**参数关联分量**增量 2.703245 分、**参数调整后未解释剩余分量**增量 13.176404 分，对应 17.0233% 和 82.9767%。后一个比例绝不是“非规模技术进步份额”；剩余分量同时包含未观测训练 token、算法、数据、架构、对齐与微调、家族组成和选择噪声。图8展示历史前沿及描述分量。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图8 前沿变化的参数关联与调整残差分解。两分量相加等于前沿，不表示完整规模与因果技术贡献。</w:t>
      </w:r>
    </w:p>
    <w:p>
      <w:pPr>
        <w:pStyle w:val="PaperBody"/>
        <w:widowControl/>
      </w:pPr>
      <w:r>
        <w:t>表12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表12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同家族趋势也不统一：部分家族为负，另一些为正。为检验加入D可能造成的变化，仅在六条可用基础模型中描述 `raw6=截距+b_N lnN+b_D lnD`，不插补其余847条。表13显示删一模型及compute口径检查后的大幅波动；小样本还混合不同家族，不能把子样本系数投射到完整前沿。</w:t>
      </w:r>
    </w:p>
    <w:p>
      <w:pPr>
        <w:pStyle w:val="PaperCaption"/>
        <w:keepNext/>
        <w:widowControl/>
      </w:pPr>
      <w:r>
        <w:t>表13 C4训练数据与算力字段的识别范围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范围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样本数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描述性结果</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完整规模贡献</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853条主样本中D非空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含估算或后训练口径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无法计算</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可用同阶段N/D/compute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lnN系数2.409；lnD系数1.180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不能外推到853条</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compute与6ND大致相合</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lnN系数9.037；lnD系数4.677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单实体口径敏感</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六条留一实体</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每次5条</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lnN：−5.286至9.037；lnD：−0.490至4.677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符号及幅度不稳定</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另有C4 compute的base模型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ln(compute)关联斜率2.637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混家族/估算字段，仅作诊断</w:t>
            </w:r>
          </w:p>
        </w:tc>
      </w:tr>
    </w:tbl>
    <w:p>
      <w:pPr>
        <w:pStyle w:val="PaperBody"/>
        <w:widowControl/>
      </w:pPr>
      <w:r>
        <w:t>六条之一的C4 compute与`6ND`代理相差约4.584倍，口径没有充分对齐；五条筛选只为敏感性，不是重定主样本。由此能回答的是指定样本与前沿定义下的参数关联与未解释剩余分量，完整scale贡献、独立non-scale技术效果及真实算力放缓效应仍不可识别。</w:t>
      </w:r>
    </w:p>
    <w:p>
      <w:pPr>
        <w:pStyle w:val="PaperH2"/>
        <w:widowControl/>
      </w:pPr>
      <w:r>
        <w:t>8.4 动态模型与短期限验证</w:t>
      </w:r>
    </w:p>
    <w:p>
      <w:pPr>
        <w:pStyle w:val="PaperBody"/>
        <w:widowControl/>
      </w:pPr>
      <w:r>
        <w:t>比较持续性、截断线性、有界 logit 线性和最近 13 周局部 logit 四种预定模型。至少积累 16 个周端点后，扩展训练窗滚动预测。逐折检查了既有数据允许的最长期限：只有 4 周的 20 折和 13 周的 11 折，26 周和 52 周没有可用回测，更无30—42个月覆盖验证。表14给出宏观能力点数的 MAE。</w:t>
      </w:r>
    </w:p>
    <w:p>
      <w:pPr>
        <w:pStyle w:val="PaperCaption"/>
        <w:keepNext/>
        <w:widowControl/>
      </w:pPr>
      <w:r>
        <w:t>表14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（23）</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H2"/>
        <w:widowControl/>
      </w:pPr>
      <w:r>
        <w:t>8.5 日期明确的预测与三类不确定性</w:t>
      </w:r>
    </w:p>
    <w:p>
      <w:pPr>
        <w:pStyle w:val="PaperBody"/>
        <w:widowControl/>
      </w:pPr>
      <w:r>
        <w:t>预测原点为 2026-09-25，但最后评测观测为 2025-03-14，已经相隔 560 天。因此“未来12和24个月”分别指 2027-09-25、2028-09-25，实际距离最后数据约 30 和 42 个月，两者均以远外推为主。表15及图9把这些日期与条件中心并列，不能把中心解释为已经长期回测的产业预测。</w:t>
      </w:r>
    </w:p>
    <w:p>
      <w:pPr>
        <w:pStyle w:val="PaperCaption"/>
        <w:keepNext/>
        <w:widowControl/>
      </w:pPr>
      <w:r>
        <w:t>表15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图9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第二类是模型不确定性。表15最后一列仅为四个预定动态模型的中心预测范围，没有概率覆盖含义，也没有包含所有可能模型或全部筛选敏感性。它与前一列不能互换，不能将较窄者择优作为最终风险范围。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第三类是外生算力增长情景及未识别的结构变化。旧尝试以参数分量的全时段趋势 b_S=−0.029739 分/周构造可削减正项，因正项为零而三条曲线重合，不能形成放缓比较。新情景**不把这个负趋势改为正趋势的经验估计**；只设一个透明的正增长参照。旧前沿排序邻点的插值 lnN 在2024-06-16至2025-03-14两端相差0.588181，跨38.714周，得到端点斜率 g_ref=0.015193/周。若从预测原点起假设训练D固定且`C≈6ND`，则这个路径同时是参考对数compute增长路径。它不是从C4可靠拟合的真实历史算力增长率。</w:t>
      </w:r>
    </w:p>
    <w:p>
      <w:pPr>
        <w:pStyle w:val="PaperEquation"/>
        <w:keepNext w:val="0"/>
        <w:widowControl/>
        <w:spacing w:before="100" w:after="100"/>
      </w:pPr>
      <m:oMath xmlns:m="http://schemas.openxmlformats.org/officeDocument/2006/math" xmlns:mml="http://www.w3.org/1998/Math/MathML">
        <m:sSub>
          <m:e>
            <m:limUpp>
              <m:e>
                <m:r>
                  <m:t>F</m:t>
                </m:r>
              </m:e>
              <m:lim>
                <m:r>
                  <m:t>^</m:t>
                </m:r>
              </m:lim>
            </m:limUpp>
          </m:e>
          <m:sub>
            <m:r>
              <m:t>ρ</m:t>
            </m:r>
          </m:sub>
        </m:sSub>
        <m:r>
          <m:t>(h)=clip{U(h)−(1−ρ)</m:t>
        </m:r>
        <m:sSub>
          <m:e>
            <m:r>
              <m:t>θ</m:t>
            </m:r>
          </m:e>
          <m:sub>
            <m:r>
              <m:t>N</m:t>
            </m:r>
          </m:sub>
        </m:sSub>
        <m:sSub>
          <m:e>
            <m:r>
              <m:t>g</m:t>
            </m:r>
          </m:e>
          <m:sub>
            <m:r>
              <m:rPr>
                <m:sty m:val="p"/>
              </m:rPr>
              <m:t>ref</m:t>
            </m:r>
          </m:sub>
        </m:sSub>
        <m:r>
          <m:t>h,0,100},</m:t>
        </m:r>
        <m:r>
          <m:t>ρ∈{1,0.5,0}.</m:t>
        </m:r>
      </m:oMath>
      <w:r>
        <w:t xml:space="preserve">    （24）</w:t>
      </w:r>
    </w:p>
    <w:p>
      <w:pPr>
        <w:pStyle w:val="PaperBody"/>
        <w:widowControl/>
      </w:pPr>
      <w:r>
        <w:t>这里 h 从2026-09-25起以周计，ρ=1为原动态模型条件中心，ρ=0.5和0为外生增长保留比例。使用 θ_N=4.595943 分/lnN，把假设的规模路径**直接在benchmark分数空间**平移；不使用失败的Loss桥接。表16给出可区分的条件中心，减幅分别为参考路径关联增量的一半和全部。</w:t>
      </w:r>
    </w:p>
    <w:p>
      <w:pPr>
        <w:pStyle w:val="PaperCaption"/>
        <w:keepNext/>
        <w:widowControl/>
      </w:pPr>
      <w:r>
        <w:t>表16 外生算力增长保留情景下的条件中心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ρ=1参考中心</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ρ=0.5中度放缓</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ρ=0强放缓</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参考正增长关联增量</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77.93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76.11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3.6409分</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83.48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79.84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7.2918分</w:t>
            </w:r>
          </w:p>
        </w:tc>
      </w:tr>
    </w:tbl>
    <w:p>
      <w:pPr>
        <w:pStyle w:val="PaperBody"/>
        <w:widowControl/>
      </w:pPr>
      <w:r>
        <w:t>表16没有为未来情景估计发生概率，也没有经验覆盖区间；表15的条件95%区间只对应ρ=1的原动态模型。端点正斜率和全时段负趋势并存，说明参考路径选择会显著改变结果。完整算力效应、训练D、新家族和评测变化仍未识别，故情景差异不能写成实际算力放缓已被测得的影响。</w:t>
      </w:r>
    </w:p>
    <w:p>
      <w:pPr>
        <w:pStyle w:val="PaperBody"/>
        <w:widowControl/>
      </w:pPr>
      <w:r>
        <w:t>问题四的可写结论为：同口径历史群体前沿提高；候选桥接已建模但检验未通过；只能描述参数关联与未解释剩余分量，不能识别完整scale/non-scale比例；外生放缓情景给出可比较的条件投影；两期限不具有已验证的长期覆盖。问题三用于说明资源改变如何影响来源内Loss，不能取代实际能力观测。</w:t>
      </w:r>
    </w:p>
    <w:p>
      <w:pPr>
        <w:pStyle w:val="PaperH1"/>
        <w:widowControl/>
      </w:pPr>
      <w:r>
        <w:t>9 模型评价与局限性</w:t>
      </w:r>
    </w:p>
    <w:p>
      <w:pPr>
        <w:pStyle w:val="PaperBody"/>
        <w:widowControl/>
      </w:pPr>
      <w:r>
        <w:t>本框架的优点首先是对质量含义的处理：先检查方向、尺度和冗余，再以明确的参考用途构造22项综合评分，并把五维描述作为解释层；区分语义冲突与统计分歧，避免凭简单负相关判定指标相互矛盾。</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Body"/>
        <w:widowControl/>
      </w:pPr>
      <w:r>
        <w:t>限制也具有具体来源。Q_full 的部分指标没有通用单调质量方向，目标接近度及等权是评价约定，不能变成客观训练收益。B1的外部原始运行和共同Loss量尺未完全恢复；Q与训练运行缺少配对，真实独立质量弹性无法识别；配比的较大规模运输弱，1B及10B/70B估算表的形状均不支持通用迁移，真实语料供应未知。Q3的最优性仅针对题设成本代理、附件内部Loss曲面和统计支持约束，质量情景不能代替实测回报。</w:t>
      </w:r>
    </w:p>
    <w:p>
      <w:pPr>
        <w:pStyle w:val="PaperBody"/>
        <w:widowControl/>
      </w:pPr>
      <w:r>
        <w:t>Q4建立了候选桥接却没有可靠的跨来源数值运输；同口径训练D稀少，使完整规模贡献不可识别，参数关联与未解释剩余分量的比例受筛选、起点和窗口影响并可反号。放缓差值依赖假设的正增长路径、固定D和参数关联系数，不能当作实际compute因果效应。观测止于2025年3月，预测原点前有560天空档，长时段覆盖未经验证，固定趋势及扩散假设可能在新模型家族或评测规则变化时失效。因此不能用表15的条件中心代替高可信产业预测，也不能将模型得分上界当作真实技术饱和证据。</w:t>
      </w:r>
    </w:p>
    <w:p>
      <w:pPr>
        <w:pStyle w:val="PaperH1"/>
        <w:widowControl/>
      </w:pPr>
      <w:r>
        <w:t>10 结论</w:t>
      </w:r>
    </w:p>
    <w:p>
      <w:pPr>
        <w:pStyle w:val="PaperBody"/>
        <w:widowControl/>
      </w:pPr>
      <w:r>
        <w:t>问题一形成覆盖22项的规则构造综合评分Q_full、五维解释性画像及受限配比预测；1M留出表现支持局部配比关联，1B失败及10B/70B估算外推限制其运输范围。问题二给出附件内部N–D幂律及边际、弹性和有限替代公式，半合成质量与跨来源配比关系通过显式条件情景表达。</w:t>
      </w:r>
    </w:p>
    <w:p>
      <w:pPr>
        <w:pStyle w:val="PaperBody"/>
        <w:widowControl/>
      </w:pPr>
      <w:r>
        <w:t>问题三在题设算力代理下得到解析与数值一致的条件配置，预算增加先触及数据支持界，再触及参数支持界，平台反映证据边界。质量成本可改变有限投入选择，局部启动条件不能代替非凸情景的全局比较。</w:t>
      </w:r>
    </w:p>
    <w:p>
      <w:pPr>
        <w:pStyle w:val="PaperBody"/>
        <w:widowControl/>
      </w:pPr>
      <w:r>
        <w:t>问题四观察到同口径群体前沿上升；候选Loss–Benchmark映射验证失败，完整规模与技术进步的份额不可识别。外生放缓情景提供可区分的条件中心，真实算力增长与因果影响仍未知。给出的12/24个月结果是陈旧观测条件下的长期投影，必须与统计区间、模型范围和不可识别部分一起使用。四问的共同价值是把可复核的数量关系和不能由资料支撑的推断明确分开。</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pPr>
        <w:pStyle w:val="PaperRef"/>
        <w:widowControl/>
      </w:pPr>
      <w:r>
        <w:t>[5] 中国研究生数学建模竞赛组委会. 2026年F题题面及配套数据说明，竞赛附件，2026。</w:t>
      </w:r>
    </w:p>
    <w:p>
      <w:pPr>
        <w:pStyle w:val="PaperRef"/>
        <w:widowControl/>
      </w:pPr>
      <w:r>
        <w:t>[6] opendatalab. SlimPajama Meta-rater 数据卡，https://huggingface.co/datasets/opendatalab/SlimPajama-Meta-rater/blob/main/README.md，访问日期2026-09-25。数据卡说明字段族，不证明比赛摘录的每项生成版本。</w:t>
      </w:r>
    </w:p>
    <w:p>
      <w:pPr>
        <w:pStyle w:val="PaperRef"/>
        <w:widowControl/>
      </w:pPr>
      <w:r>
        <w:t>[7] Liu Q, Zheng X, Muennighoff N, et al. RegMix: Data Mixture as Regression for Language Model Pre-training. arXiv:2407.01492, 2024. https://arxiv.org/abs/2407.01492，访问日期2026-09-25。本文未照搬其模型系数。</w:t>
      </w:r>
    </w:p>
    <w:p>
      <w:r>
        <w:br w:type="page"/>
      </w:r>
    </w:p>
    <w:p>
      <w:pPr>
        <w:pStyle w:val="PaperH1"/>
        <w:widowControl/>
      </w:pPr>
      <w:r>
        <w:t>附录 A 完整质量信号处理</w:t>
      </w:r>
    </w:p>
    <w:p>
      <w:pPr>
        <w:pStyle w:val="PaperBody"/>
        <w:widowControl/>
      </w:pPr>
      <w:r>
        <w:t>表A1保留全部22项字段族的定义及原始处理角色；修订的 `Q_full` 规则与逐字段目标/权重另见支撑表 `Q_FULL_FIELD_CONTRACT_v1.csv`。经规则变换后的效用较高仅表示更符合指定评价目标，任何字段均不能直接充当已识别的训练质量效应。19条不完整记录以中性0.5暂补并报告覆盖数；列表原分量保留，域级分布和有效样本数在支撑表提供。</w:t>
      </w:r>
    </w:p>
    <w:p>
      <w:pPr>
        <w:pStyle w:val="PaperCaption"/>
        <w:keepNext/>
        <w:widowControl/>
      </w:pPr>
      <w:r>
        <w:t>表A1 完整22项信号的含义与使用方式</w:t>
      </w:r>
    </w:p>
    <w:tbl>
      <w:tblPr>
        <w:tblW w:type="auto" w:w="0"/>
        <w:jc w:val="center"/>
        <w:tblLayout w:type="fixed"/>
        <w:tblLook w:firstColumn="1" w:firstRow="1" w:lastColumn="0" w:lastRow="0" w:noHBand="0" w:noVBand="1" w:val="04A0"/>
      </w:tblPr>
      <w:tblGrid>
        <w:gridCol w:w="3930"/>
        <w:gridCol w:w="1871"/>
        <w:gridCol w:w="3555"/>
      </w:tblGrid>
      <w:tr>
        <w:trPr>
          <w:cantSplit/>
          <w:tblHeader/>
        </w:trPr>
        <w:tc>
          <w:tcPr>
            <w:tcW w:type="dxa" w:w="393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含义</w:t>
            </w:r>
          </w:p>
        </w:tc>
        <w:tc>
          <w:tcPr>
            <w:tcW w:type="dxa" w:w="3555"/>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处理与限制</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教育价值</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原评分；正向主坐标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英语流畅度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正负logit差；正向主坐标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清洁度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概率加权等级；正向主坐标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可读性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概率加权等级；正向主坐标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推理复杂度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保留等级；依用途分析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专业性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保留等级；依用途分析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书籍相似性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尺度未核；不进入总分</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百科相似性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与书籍列近重复；单列诊断</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数学相似性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与书籍列近重复；单列诊断</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四面向质量评级</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保留四分量；不强行平均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无广告程度</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无广告减有广告logit；主坐标</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词数</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log1p长度协变量</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句数</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log1p长度协变量</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一元熵</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原值/秩；基数未核</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不重复词比例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原值/秩；依语言与用途</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非字母词比例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原值/秩；代码域另析</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最高频二元组字符占比</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原值保留；不裁剪超界</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最高频三元组字符占比</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原值保留；不裁剪超界</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大写字母比例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行尾标点比例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数字字符比例</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原值/秩；用途敏感</w:t>
            </w:r>
          </w:p>
        </w:tc>
      </w:tr>
      <w:tr>
        <w:trPr>
          <w:cantSplit/>
        </w:trPr>
        <w:tc>
          <w:tcPr>
            <w:tcW w:type="dxa" w:w="393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平均词长</w:t>
            </w:r>
          </w:p>
        </w:tc>
        <w:tc>
          <w:tcPr>
            <w:tcW w:type="dxa" w:w="355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字符/词；用途敏感</w:t>
            </w:r>
          </w:p>
        </w:tc>
      </w:tr>
    </w:tbl>
    <w:p>
      <w:pPr>
        <w:pStyle w:val="PaperH1"/>
        <w:widowControl/>
      </w:pPr>
      <w:r>
        <w:t>附录 B 逐领域验证</w:t>
      </w:r>
    </w:p>
    <w:p>
      <w:pPr>
        <w:pStyle w:val="PaperBody"/>
        <w:widowControl/>
      </w:pPr>
      <w:r>
        <w:t>表B1列出1M留出运行的全部13域原尺度RMSE，与图2和表3来自相同冻结预测。总体改善并未消除领域间误差差异。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配比模型先按训练配比构造正交坐标，分别拟合各响应域，再在冻结参数下计算留出预测。跨规模仅中心化比较形状；支持分类只用训练几何定义。质量参考分位、方向与权重不依赖留出Loss。</w:t>
      </w:r>
    </w:p>
    <w:p>
      <w:pPr>
        <w:pStyle w:val="PaperBody"/>
        <w:widowControl/>
      </w:pPr>
      <w:r>
        <w:t>标度律采用轨迹等权的有界非线性最小二乘，保存每折训练/检验索引。参数不确定性按整轨迹重抽样。资源基线优先使用式（16）；质量情景按固定Q消元、外层端点与局部谷精化求解，保留所有数值起点和失败记录。</w:t>
      </w:r>
    </w:p>
    <w:p>
      <w:pPr>
        <w:pStyle w:val="PaperBody"/>
        <w:widowControl/>
      </w:pPr>
      <w:r>
        <w:t>前沿从模型身份和原始任务组得分构造。分解使用与前沿完全一致的分位插值权重；滚动预测只用当时端点之前的窗口。预测区间采用固定模型与残差块，模型范围另算，禁止用未来预测结果选择模型。原件、模型参数、实验输出与图表通过哈希连接，支撑材料含对应索引及只读核对程序。</w:t>
      </w:r>
    </w:p>
    <w:p>
      <w:pPr>
        <w:pStyle w:val="PaperBody"/>
        <w:widowControl/>
      </w:pPr>
      <w:r>
        <w:t>本文沿用既有Q2/Q3模型与有效运行，不为改进论文外观重新拟合或调参。2稿仅新增Q1评价及估算外推压力计算、Q4子样本与外生条件情景。支撑目录中的机器结果保留全精度；正文按显示精度四舍五入。公式的数值回代使用全精度参数，因而与用印刷参数重算的末位差异不视为模型改变。</w:t>
      </w:r>
    </w:p>
    <w:p>
      <w:pPr>
        <w:pStyle w:val="PaperBody"/>
        <w:widowControl/>
      </w:pPr>
      <w:r>
        <w:t>可检查的支撑程序入口为 `q1_task_repair.py`（逐样本22项评分及A12—A15）、`q4_task_repair.py`（C4子样本和放缓情景）、`revised_figures.py`（从冻结表重导出图4—7）、`build_paper.py`（组装本文）以及`qa_revised.py`（旧结果不变、新结果与图表核对）。既有M1与Q2/Q3/Q4运行原脚本和机器摘要保留在项目支撑目录；支撑包列出文件与SHA256。本文使用的Python数值程序及图表由参赛队在最终提交前核对。</w:t>
      </w:r>
    </w:p>
    <w:p>
      <w:pPr>
        <w:pStyle w:val="PaperBody"/>
        <w:widowControl/>
      </w:pPr>
      <w:r>
        <w:t>AI辅助编程说明：本次论文证据抽取、生成及一致性核查代码在Codex辅助下完成，当前会话模型标识GPT-6，开发机构OpenAI，版本发布日期未独立核验；历史建模代码的工具版本和发布日期应由参赛队原始记录确认。本说明不将AI使用解释为独立人工复审，参赛队须在正式提交前补全披露并核实自身表述。</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算力约束下大语言模型的质量评价资源配置与能力前沿预测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