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针对问题一，以A1固定参考分位和预先定义的评价用途参考画像把全部22项转为较高分代表较符合指定评价规则的效用，等权构造Q_full，并保留五维画像与DQ0作解释层。A1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目录</w:t>
      </w:r>
    </w:p>
    <w:p>
      <w:pPr>
        <w:pStyle w:val="PaperTOC"/>
        <w:tabs>
          <w:tab w:pos="9243" w:val="right" w:leader="dot"/>
        </w:tabs>
        <w:ind w:firstLine="0"/>
      </w:pPr>
      <w:r>
        <w:t>一、引言</w:t>
      </w:r>
      <w:r>
        <w:tab/>
        <w:t>3</w:t>
      </w:r>
    </w:p>
    <w:p>
      <w:pPr>
        <w:pStyle w:val="PaperTOC"/>
        <w:tabs>
          <w:tab w:pos="9243" w:val="right" w:leader="dot"/>
        </w:tabs>
        <w:ind w:firstLine="0" w:left="340"/>
      </w:pPr>
      <w:r>
        <w:t>1.1 问题背景</w:t>
      </w:r>
      <w:r>
        <w:tab/>
        <w:t>3</w:t>
      </w:r>
    </w:p>
    <w:p>
      <w:pPr>
        <w:pStyle w:val="PaperTOC"/>
        <w:tabs>
          <w:tab w:pos="9243" w:val="right" w:leader="dot"/>
        </w:tabs>
        <w:ind w:firstLine="0" w:left="340"/>
      </w:pPr>
      <w:r>
        <w:t>1.2 问题重述</w:t>
      </w:r>
      <w:r>
        <w:tab/>
        <w:t>3</w:t>
      </w:r>
    </w:p>
    <w:p>
      <w:pPr>
        <w:pStyle w:val="PaperTOC"/>
        <w:tabs>
          <w:tab w:pos="9243" w:val="right" w:leader="dot"/>
        </w:tabs>
        <w:ind w:firstLine="0"/>
      </w:pPr>
      <w:r>
        <w:t>二、总体分析</w:t>
      </w:r>
      <w:r>
        <w:tab/>
        <w:t>3</w:t>
      </w:r>
    </w:p>
    <w:p>
      <w:pPr>
        <w:pStyle w:val="PaperTOC"/>
        <w:tabs>
          <w:tab w:pos="9243" w:val="right" w:leader="dot"/>
        </w:tabs>
        <w:ind w:firstLine="0"/>
      </w:pPr>
      <w:r>
        <w:t>三、模型假设</w:t>
      </w:r>
      <w:r>
        <w:tab/>
        <w:t>4</w:t>
      </w:r>
    </w:p>
    <w:p>
      <w:pPr>
        <w:pStyle w:val="PaperTOC"/>
        <w:tabs>
          <w:tab w:pos="9243" w:val="right" w:leader="dot"/>
        </w:tabs>
        <w:ind w:firstLine="0"/>
      </w:pPr>
      <w:r>
        <w:t>四、符号说明</w:t>
      </w:r>
      <w:r>
        <w:tab/>
        <w:t>4</w:t>
      </w:r>
    </w:p>
    <w:p>
      <w:pPr>
        <w:pStyle w:val="PaperTOC"/>
        <w:tabs>
          <w:tab w:pos="9243" w:val="right" w:leader="dot"/>
        </w:tabs>
        <w:ind w:firstLine="0"/>
      </w:pPr>
      <w:r>
        <w:t>五、模型的建立与求解</w:t>
      </w:r>
      <w:r>
        <w:tab/>
        <w:t>5</w:t>
      </w:r>
    </w:p>
    <w:p>
      <w:pPr>
        <w:pStyle w:val="PaperTOC"/>
        <w:tabs>
          <w:tab w:pos="9243" w:val="right" w:leader="dot"/>
        </w:tabs>
        <w:ind w:firstLine="0" w:left="340"/>
      </w:pPr>
      <w:r>
        <w:t>5.1 问题一的模型的建立和求解</w:t>
      </w:r>
      <w:r>
        <w:tab/>
        <w:t>6</w:t>
      </w:r>
    </w:p>
    <w:p>
      <w:pPr>
        <w:pStyle w:val="PaperTOC"/>
        <w:tabs>
          <w:tab w:pos="9243" w:val="right" w:leader="dot"/>
        </w:tabs>
        <w:ind w:firstLine="0" w:left="652"/>
      </w:pPr>
      <w:r>
        <w:t>5.1.1 具体分析</w:t>
      </w:r>
      <w:r>
        <w:tab/>
        <w:t>6</w:t>
      </w:r>
    </w:p>
    <w:p>
      <w:pPr>
        <w:pStyle w:val="PaperTOC"/>
        <w:tabs>
          <w:tab w:pos="9243" w:val="right" w:leader="dot"/>
        </w:tabs>
        <w:ind w:firstLine="0" w:left="652"/>
      </w:pPr>
      <w:r>
        <w:t>5.1.2 模型准备</w:t>
      </w:r>
      <w:r>
        <w:tab/>
        <w:t>6</w:t>
      </w:r>
    </w:p>
    <w:p>
      <w:pPr>
        <w:pStyle w:val="PaperTOC"/>
        <w:tabs>
          <w:tab w:pos="9243" w:val="right" w:leader="dot"/>
        </w:tabs>
        <w:ind w:firstLine="0" w:left="652"/>
      </w:pPr>
      <w:r>
        <w:t>5.1.3 模型建立</w:t>
      </w:r>
      <w:r>
        <w:tab/>
        <w:t>7</w:t>
      </w:r>
    </w:p>
    <w:p>
      <w:pPr>
        <w:pStyle w:val="PaperTOC"/>
        <w:tabs>
          <w:tab w:pos="9243" w:val="right" w:leader="dot"/>
        </w:tabs>
        <w:ind w:firstLine="0" w:left="652"/>
      </w:pPr>
      <w:r>
        <w:t>5.1.4 模型求解</w:t>
      </w:r>
      <w:r>
        <w:tab/>
        <w:t>11</w:t>
      </w:r>
    </w:p>
    <w:p>
      <w:pPr>
        <w:pStyle w:val="PaperTOC"/>
        <w:tabs>
          <w:tab w:pos="9243" w:val="right" w:leader="dot"/>
        </w:tabs>
        <w:ind w:firstLine="0" w:left="340"/>
      </w:pPr>
      <w:r>
        <w:t>5.2 问题二的模型的建立和求解</w:t>
      </w:r>
      <w:r>
        <w:tab/>
        <w:t>13</w:t>
      </w:r>
    </w:p>
    <w:p>
      <w:pPr>
        <w:pStyle w:val="PaperTOC"/>
        <w:tabs>
          <w:tab w:pos="9243" w:val="right" w:leader="dot"/>
        </w:tabs>
        <w:ind w:firstLine="0" w:left="652"/>
      </w:pPr>
      <w:r>
        <w:t>5.2.1 具体分析</w:t>
      </w:r>
      <w:r>
        <w:tab/>
        <w:t>13</w:t>
      </w:r>
    </w:p>
    <w:p>
      <w:pPr>
        <w:pStyle w:val="PaperTOC"/>
        <w:tabs>
          <w:tab w:pos="9243" w:val="right" w:leader="dot"/>
        </w:tabs>
        <w:ind w:firstLine="0" w:left="652"/>
      </w:pPr>
      <w:r>
        <w:t>5.2.2 模型准备</w:t>
      </w:r>
      <w:r>
        <w:tab/>
        <w:t>13</w:t>
      </w:r>
    </w:p>
    <w:p>
      <w:pPr>
        <w:pStyle w:val="PaperTOC"/>
        <w:tabs>
          <w:tab w:pos="9243" w:val="right" w:leader="dot"/>
        </w:tabs>
        <w:ind w:firstLine="0" w:left="652"/>
      </w:pPr>
      <w:r>
        <w:t>5.2.3 模型建立</w:t>
      </w:r>
      <w:r>
        <w:tab/>
        <w:t>13</w:t>
      </w:r>
    </w:p>
    <w:p>
      <w:pPr>
        <w:pStyle w:val="PaperTOC"/>
        <w:tabs>
          <w:tab w:pos="9243" w:val="right" w:leader="dot"/>
        </w:tabs>
        <w:ind w:firstLine="0" w:left="652"/>
      </w:pPr>
      <w:r>
        <w:t>5.2.4 模型求解</w:t>
      </w:r>
      <w:r>
        <w:tab/>
        <w:t>15</w:t>
      </w:r>
    </w:p>
    <w:p>
      <w:pPr>
        <w:pStyle w:val="PaperTOC"/>
        <w:tabs>
          <w:tab w:pos="9243" w:val="right" w:leader="dot"/>
        </w:tabs>
        <w:ind w:firstLine="0" w:left="340"/>
      </w:pPr>
      <w:r>
        <w:t>5.3 问题三的模型的建立和求解</w:t>
      </w:r>
      <w:r>
        <w:tab/>
        <w:t>17</w:t>
      </w:r>
    </w:p>
    <w:p>
      <w:pPr>
        <w:pStyle w:val="PaperTOC"/>
        <w:tabs>
          <w:tab w:pos="9243" w:val="right" w:leader="dot"/>
        </w:tabs>
        <w:ind w:firstLine="0" w:left="652"/>
      </w:pPr>
      <w:r>
        <w:t>5.3.1 具体分析</w:t>
      </w:r>
      <w:r>
        <w:tab/>
        <w:t>17</w:t>
      </w:r>
    </w:p>
    <w:p>
      <w:pPr>
        <w:pStyle w:val="PaperTOC"/>
        <w:tabs>
          <w:tab w:pos="9243" w:val="right" w:leader="dot"/>
        </w:tabs>
        <w:ind w:firstLine="0" w:left="652"/>
      </w:pPr>
      <w:r>
        <w:t>5.3.2 模型准备</w:t>
      </w:r>
      <w:r>
        <w:tab/>
        <w:t>18</w:t>
      </w:r>
    </w:p>
    <w:p>
      <w:pPr>
        <w:pStyle w:val="PaperTOC"/>
        <w:tabs>
          <w:tab w:pos="9243" w:val="right" w:leader="dot"/>
        </w:tabs>
        <w:ind w:firstLine="0" w:left="652"/>
      </w:pPr>
      <w:r>
        <w:t>5.3.3 模型建立</w:t>
      </w:r>
      <w:r>
        <w:tab/>
        <w:t>18</w:t>
      </w:r>
    </w:p>
    <w:p>
      <w:pPr>
        <w:pStyle w:val="PaperTOC"/>
        <w:tabs>
          <w:tab w:pos="9243" w:val="right" w:leader="dot"/>
        </w:tabs>
        <w:ind w:firstLine="0" w:left="652"/>
      </w:pPr>
      <w:r>
        <w:t>5.3.4 模型求解</w:t>
      </w:r>
      <w:r>
        <w:tab/>
        <w:t>21</w:t>
      </w:r>
    </w:p>
    <w:p>
      <w:pPr>
        <w:pStyle w:val="PaperTOC"/>
        <w:tabs>
          <w:tab w:pos="9243" w:val="right" w:leader="dot"/>
        </w:tabs>
        <w:ind w:firstLine="0" w:left="340"/>
      </w:pPr>
      <w:r>
        <w:t>5.4 问题四的模型的建立和求解</w:t>
      </w:r>
      <w:r>
        <w:tab/>
        <w:t>22</w:t>
      </w:r>
    </w:p>
    <w:p>
      <w:pPr>
        <w:pStyle w:val="PaperTOC"/>
        <w:tabs>
          <w:tab w:pos="9243" w:val="right" w:leader="dot"/>
        </w:tabs>
        <w:ind w:firstLine="0" w:left="652"/>
      </w:pPr>
      <w:r>
        <w:t>5.4.1 具体分析</w:t>
      </w:r>
      <w:r>
        <w:tab/>
        <w:t>22</w:t>
      </w:r>
    </w:p>
    <w:p>
      <w:pPr>
        <w:pStyle w:val="PaperTOC"/>
        <w:tabs>
          <w:tab w:pos="9243" w:val="right" w:leader="dot"/>
        </w:tabs>
        <w:ind w:firstLine="0" w:left="652"/>
      </w:pPr>
      <w:r>
        <w:t>5.4.2 模型准备</w:t>
      </w:r>
      <w:r>
        <w:tab/>
        <w:t>23</w:t>
      </w:r>
    </w:p>
    <w:p>
      <w:pPr>
        <w:pStyle w:val="PaperTOC"/>
        <w:tabs>
          <w:tab w:pos="9243" w:val="right" w:leader="dot"/>
        </w:tabs>
        <w:ind w:firstLine="0" w:left="652"/>
      </w:pPr>
      <w:r>
        <w:t>5.4.3 模型建立</w:t>
      </w:r>
      <w:r>
        <w:tab/>
        <w:t>23</w:t>
      </w:r>
    </w:p>
    <w:p>
      <w:pPr>
        <w:pStyle w:val="PaperTOC"/>
        <w:tabs>
          <w:tab w:pos="9243" w:val="right" w:leader="dot"/>
        </w:tabs>
        <w:ind w:firstLine="0" w:left="652"/>
      </w:pPr>
      <w:r>
        <w:t>5.4.4 模型求解</w:t>
      </w:r>
      <w:r>
        <w:tab/>
        <w:t>26</w:t>
      </w:r>
    </w:p>
    <w:p>
      <w:pPr>
        <w:pStyle w:val="PaperTOC"/>
        <w:tabs>
          <w:tab w:pos="9243" w:val="right" w:leader="dot"/>
        </w:tabs>
        <w:ind w:firstLine="0"/>
      </w:pPr>
      <w:r>
        <w:t>六、模型检验与分析</w:t>
      </w:r>
      <w:r>
        <w:tab/>
        <w:t>28</w:t>
      </w:r>
    </w:p>
    <w:p>
      <w:pPr>
        <w:pStyle w:val="PaperTOC"/>
        <w:tabs>
          <w:tab w:pos="9243" w:val="right" w:leader="dot"/>
        </w:tabs>
        <w:ind w:firstLine="0" w:left="340"/>
      </w:pPr>
      <w:r>
        <w:t>6.1 误差分析</w:t>
      </w:r>
      <w:r>
        <w:tab/>
        <w:t>28</w:t>
      </w:r>
    </w:p>
    <w:p>
      <w:pPr>
        <w:pStyle w:val="PaperTOC"/>
        <w:tabs>
          <w:tab w:pos="9243" w:val="right" w:leader="dot"/>
        </w:tabs>
        <w:ind w:firstLine="0" w:left="340"/>
      </w:pPr>
      <w:r>
        <w:t>6.2 灵敏度分析</w:t>
      </w:r>
      <w:r>
        <w:tab/>
        <w:t>28</w:t>
      </w:r>
    </w:p>
    <w:p>
      <w:pPr>
        <w:pStyle w:val="PaperTOC"/>
        <w:tabs>
          <w:tab w:pos="9243" w:val="right" w:leader="dot"/>
        </w:tabs>
        <w:ind w:firstLine="0"/>
      </w:pPr>
      <w:r>
        <w:t>七、模型的评价</w:t>
      </w:r>
      <w:r>
        <w:tab/>
        <w:t>29</w:t>
      </w:r>
    </w:p>
    <w:p>
      <w:pPr>
        <w:pStyle w:val="PaperTOC"/>
        <w:tabs>
          <w:tab w:pos="9243" w:val="right" w:leader="dot"/>
        </w:tabs>
        <w:ind w:firstLine="0" w:left="340"/>
      </w:pPr>
      <w:r>
        <w:t>7.1 模型的优点</w:t>
      </w:r>
      <w:r>
        <w:tab/>
        <w:t>29</w:t>
      </w:r>
    </w:p>
    <w:p>
      <w:pPr>
        <w:pStyle w:val="PaperTOC"/>
        <w:tabs>
          <w:tab w:pos="9243" w:val="right" w:leader="dot"/>
        </w:tabs>
        <w:ind w:firstLine="0" w:left="340"/>
      </w:pPr>
      <w:r>
        <w:t>7.2 模型的缺点</w:t>
      </w:r>
      <w:r>
        <w:tab/>
        <w:t>29</w:t>
      </w:r>
    </w:p>
    <w:p>
      <w:pPr>
        <w:pStyle w:val="PaperTOC"/>
        <w:tabs>
          <w:tab w:pos="9243" w:val="right" w:leader="dot"/>
        </w:tabs>
        <w:ind w:firstLine="0"/>
      </w:pPr>
      <w:r>
        <w:t>八、模型的改进与推广</w:t>
      </w:r>
      <w:r>
        <w:tab/>
        <w:t>29</w:t>
      </w:r>
    </w:p>
    <w:p>
      <w:pPr>
        <w:pStyle w:val="PaperTOC"/>
        <w:tabs>
          <w:tab w:pos="9243" w:val="right" w:leader="dot"/>
        </w:tabs>
        <w:ind w:firstLine="0" w:left="340"/>
      </w:pPr>
      <w:r>
        <w:t>8.1 模型的改进</w:t>
      </w:r>
      <w:r>
        <w:tab/>
        <w:t>29</w:t>
      </w:r>
    </w:p>
    <w:p>
      <w:pPr>
        <w:pStyle w:val="PaperTOC"/>
        <w:tabs>
          <w:tab w:pos="9243" w:val="right" w:leader="dot"/>
        </w:tabs>
        <w:ind w:firstLine="0" w:left="340"/>
      </w:pPr>
      <w:r>
        <w:t>8.2 模型的推广</w:t>
      </w:r>
      <w:r>
        <w:tab/>
        <w:t>30</w:t>
      </w:r>
    </w:p>
    <w:p>
      <w:pPr>
        <w:pStyle w:val="PaperTOC"/>
        <w:tabs>
          <w:tab w:pos="9243" w:val="right" w:leader="dot"/>
        </w:tabs>
        <w:ind w:firstLine="0"/>
      </w:pPr>
      <w:r>
        <w:t>参考文献</w:t>
      </w:r>
      <w:r>
        <w:tab/>
        <w:t>30</w:t>
      </w:r>
    </w:p>
    <w:p>
      <w:r>
        <w:br w:type="page"/>
      </w:r>
    </w:p>
    <w:p>
      <w:pPr>
        <w:pStyle w:val="PaperH1"/>
        <w:widowControl/>
      </w:pPr>
      <w:r>
        <w:t>一、引言</w:t>
      </w:r>
    </w:p>
    <w:p>
      <w:pPr>
        <w:pStyle w:val="PaperH2"/>
        <w:widowControl/>
      </w:pPr>
      <w:r>
        <w:t>1.1 问题背景</w:t>
      </w:r>
    </w:p>
    <w:p>
      <w:pPr>
        <w:pStyle w:val="PaperBody"/>
        <w:widowControl/>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pPr>
        <w:pStyle w:val="PaperBody"/>
        <w:widowControl/>
      </w:pPr>
      <w:r>
        <w:t>经验标度律为参数量和数据量的配置提供了可计算的起点[1]，但竞赛附件同时涉及文档级质量标注、训练运行级损失、模型级能力评测。不同表中的“质量”和“损失”并非天然具有同一测量单位。本文从这些资料的观测粒度与可比范围出发，依次研究质量评价、标度律、预算内配置以及能力前沿，使各问题之间的传递建立在明确的量尺和假设之上。</w:t>
      </w:r>
    </w:p>
    <w:p>
      <w:pPr>
        <w:pStyle w:val="PaperH2"/>
        <w:widowControl/>
      </w:pPr>
      <w:r>
        <w:t>1.2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二、总体分析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Body"/>
        <w:widowControl/>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pPr>
        <w:pStyle w:val="PaperBody"/>
        <w:widowControl/>
      </w:pPr>
      <w:r>
        <w:t>全文的数值结论分为附件内经验估计、半合成表内校准和外生条件推演三类。表述中分别指出训练集、留出集、估算表和未来情景的证据地位，使预测精度、数值敏感性与真实世界可推广性不被混为一谈。</w:t>
      </w:r>
    </w:p>
    <w:p>
      <w:pPr>
        <w:pStyle w:val="PaperH1"/>
        <w:widowControl/>
      </w:pPr>
      <w:r>
        <w:t>三、模型假设</w:t>
      </w:r>
    </w:p>
    <w:p>
      <w:pPr>
        <w:pStyle w:val="PaperBody"/>
        <w:widowControl/>
      </w:pPr>
      <w:r>
        <w:t>为使四项问题在同一分析框架中可计算，本文作出以下限定性假设。每项假设均只服务于其适用的数据层次；后文检验若不支持跨来源或跨规模传递，则相应结论停留在原观测范围内。</w:t>
      </w:r>
    </w:p>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四、符号说明</w:t>
      </w:r>
    </w:p>
    <w:p>
      <w:pPr>
        <w:pStyle w:val="PaperBody"/>
        <w:widowControl/>
      </w:pPr>
      <w:r>
        <w:t>本文使用的主要符号、定义和量纲列于表1。参数量和训练 token 数统一用十亿为单位，算力成本仍以 FLOPs 表示；能力分数采用六维原始任务分数的 0—100 分量尺。这一约定避免在模型估计和算力优化之间产生 10⁹ 或 10¹⁸ 的换算错误。</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22项规则构造综合评分、等权/去冗余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[0,1]；DQ0不等同Q_​full或半合成Q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H1"/>
        <w:widowControl/>
      </w:pPr>
      <w:r>
        <w:t>五、模型的建立与求解</w:t>
      </w:r>
    </w:p>
    <w:p>
      <w:pPr>
        <w:pStyle w:val="PaperBody"/>
        <w:widowControl/>
      </w:pPr>
      <w:r>
        <w:t>本节按“具体分析、模型准备、模型建立、模型求解”的顺序分别处理四个问题。模型准备明确数据、变量和单位；模型建立给出可检验的函数关系；模型求解报告数值结果与适用边界。表2汇总各附件在这四项研究中的用途。</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无法辨明生成机制的字段保留不确定标记。对来源不同、量尺未对齐的记录，本文不通过插补训练量或翻转质量方向来获得表面完整的模型。</w:t>
      </w:r>
    </w:p>
    <w:p>
      <w:pPr>
        <w:pStyle w:val="PaperH2"/>
        <w:widowControl/>
      </w:pPr>
      <w:r>
        <w:t>5.1 问题一的模型的建立和求解</w:t>
      </w:r>
    </w:p>
    <w:p>
      <w:pPr>
        <w:pStyle w:val="PaperH2"/>
        <w:widowControl/>
      </w:pPr>
      <w:r>
        <w:t>5.1.1 具体分析</w:t>
      </w:r>
    </w:p>
    <w:p>
      <w:pPr>
        <w:pStyle w:val="PaperBody"/>
        <w:widowControl/>
      </w:pPr>
      <w:r>
        <w:t>问题一包含两个测量层次。文档层次要求把22个异构信号转成可比较的综合评分，并说明指标之间的冲突；训练运行层次要求分析17域配比与13个验证领域损失的关系。两类数据缺少同一次训练的质量—配比—损失配对，因此本文分别建立评价模型和配比响应模型，再用适用范围说明两者能否进入后续联合优化。</w:t>
      </w:r>
    </w:p>
    <w:p>
      <w:pPr>
        <w:pStyle w:val="PaperBody"/>
        <w:widowControl/>
      </w:pPr>
      <w:r>
        <w:t>对质量信号，先核对字段含义和列表编码，再固定参考分布统一量纲。仅当来源支持单调解释时才采用正向分位；其余指标依据预先定义的评价用途转成目标接近效用。综合分解决“按此规则评分”的问题，五维画像回答分数由哪些可解释属性组成。对于配比实验，则在和为一的约束下建立正交对比回归，并分别检查平均响应和逐领域误差。</w:t>
      </w:r>
    </w:p>
    <w:p>
      <w:pPr>
        <w:pStyle w:val="PaperBody"/>
        <w:widowControl/>
      </w:pPr>
      <w:r>
        <w:t>二十二项信号同时记录内容、形式、长度与参考语料相似性，其原值不在同一量尺。直接平均会使词数等大数值项取得隐含权重；先分别标准化再平均仍预设全部原值越大越好，而长度、数字比例和相似性并无这样的通用方向。因此本题将“可解释的描述”和“指定用途的综合评价”分开：前者保留五维主画像，后者公布参考画像、逐项效用和权重后才计算 Q_full。</w:t>
      </w:r>
    </w:p>
    <w:p>
      <w:pPr>
        <w:pStyle w:val="PaperBody"/>
        <w:widowControl/>
      </w:pPr>
      <w:r>
        <w:t>固定 A1 训练参考的经验中秩分位，使每项新记录都用同一坐标解释，避免 A2、A3 各自重排分位后把分布漂移掩盖。对五个有来源支持的正向描述信号，较高分位给予较高效用；对其余十七项，以预先确定的高 DQ0 文本群体之中位分位为目标。这里的“接近”仅是评价规则，不声称这一群体对所有训练目标都最优。缺失项的中性赋值与实测覆盖数同时提供，使综合分不会隐去字段可用性。</w:t>
      </w:r>
    </w:p>
    <w:p>
      <w:pPr>
        <w:pStyle w:val="PaperH2"/>
        <w:widowControl/>
      </w:pPr>
      <w:r>
        <w:t>5.1.2 模型准备</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本文将质量表示分为两层。第一层是覆盖全部22项的规则构造综合分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对第 j 项指标，记 A1 训练参考中有效观测数为 n_j，低于 x 的观测数为 n_&lt;(x)，等于 x 的观测数为 n_=(x)。固定中秩经验分位等于“小于 x 的个数加上等于 x 的个数的一半”，再除以 n_j。并列值取相同中分位，量纲差异和长尾由秩坐标处理；参考样本在观察留出损失前确定，后续 A2、A3 沿用同一变换。</w:t>
      </w:r>
    </w:p>
    <w:p>
      <w:pPr>
        <w:pStyle w:val="PaperEquation"/>
        <w:keepNext w:val="0"/>
        <w:widowControl/>
        <w:spacing w:before="100" w:after="100"/>
      </w:pPr>
      <m:oMath xmlns:m="http://schemas.openxmlformats.org/officeDocument/2006/math" xmlns:mml="http://www.w3.org/1998/Math/MathML">
        <m:sSub>
          <m:e>
            <m:r>
              <m:t>r</m:t>
            </m:r>
          </m:e>
          <m:sub>
            <m:r>
              <m:t>j</m:t>
            </m:r>
          </m:sub>
        </m:sSub>
        <m:r>
          <m:t>(x)=</m:t>
        </m:r>
        <m:f>
          <m:fPr>
            <m:type m:val="bar"/>
          </m:fPr>
          <m:num>
            <m:sSub>
              <m:e>
                <m:r>
                  <m:t>n</m:t>
                </m:r>
              </m:e>
              <m:sub>
                <m:r>
                  <m:t>&lt;</m:t>
                </m:r>
              </m:sub>
            </m:sSub>
            <m:r>
              <m:t>(x)+</m:t>
            </m:r>
            <m:f>
              <m:fPr>
                <m:type m:val="bar"/>
              </m:fPr>
              <m:num>
                <m:r>
                  <m:t>1</m:t>
                </m:r>
              </m:num>
              <m:den>
                <m:r>
                  <m:t>2</m:t>
                </m:r>
              </m:den>
            </m:f>
            <m:sSub>
              <m:e>
                <m:r>
                  <m:t>n</m:t>
                </m:r>
              </m:e>
              <m:sub>
                <m:r>
                  <m:t>=</m:t>
                </m:r>
              </m:sub>
            </m:sSub>
            <m:r>
              <m:t>(x)</m:t>
            </m:r>
          </m:num>
          <m:den>
            <m:sSub>
              <m:e>
                <m:r>
                  <m:t>n</m:t>
                </m:r>
              </m:e>
              <m:sub>
                <m:r>
                  <m:t>j</m:t>
                </m:r>
              </m:sub>
            </m:sSub>
          </m:den>
        </m:f>
        <m:r>
          <m:t>,</m:t>
        </m:r>
        <m:sSub>
          <m:e>
            <m:r>
              <m:t>u</m:t>
            </m:r>
          </m:e>
          <m:sub>
            <m:r>
              <m:t>j</m:t>
            </m:r>
          </m:sub>
        </m:sSub>
        <m:r>
          <m:t>(x)=</m:t>
        </m:r>
        <m:r>
          <m:t>{</m:t>
        </m:r>
        <m:m>
          <m:mPr>
            <m:baseJc m:val="center"/>
            <m:plcHide m:val="on"/>
            <m:mcs>
              <m:mc>
                <m:mcPr>
                  <m:count m:val="2"/>
                  <m:mcJc m:val="center"/>
                </m:mcPr>
              </m:mc>
            </m:mcs>
          </m:mPr>
          <m:mr>
            <m:e>
              <m:sSub>
                <m:e>
                  <m:r>
                    <m:t>r</m:t>
                  </m:r>
                </m:e>
                <m:sub>
                  <m:r>
                    <m:t>j</m:t>
                  </m:r>
                </m:sub>
              </m:sSub>
              <m:r>
                <m:t>(x),</m:t>
              </m:r>
            </m:e>
            <m:e>
              <m:r>
                <m:t>j∈</m:t>
              </m:r>
              <m:r>
                <m:rPr>
                  <m:scr m:val="script"/>
                </m:rPr>
                <m:t>P</m:t>
              </m:r>
              <m:r>
                <m:t>,</m:t>
              </m:r>
            </m:e>
          </m:mr>
          <m:mr>
            <m:e>
              <m:r>
                <m:t>1−|</m:t>
              </m:r>
              <m:sSub>
                <m:e>
                  <m:r>
                    <m:t>r</m:t>
                  </m:r>
                </m:e>
                <m:sub>
                  <m:r>
                    <m:t>j</m:t>
                  </m:r>
                </m:sub>
              </m:sSub>
              <m:r>
                <m:t>(x)−</m:t>
              </m:r>
              <m:sSub>
                <m:e>
                  <m:r>
                    <m:t>t</m:t>
                  </m:r>
                </m:e>
                <m:sub>
                  <m:r>
                    <m:t>j</m:t>
                  </m:r>
                </m:sub>
              </m:sSub>
              <m:r>
                <m:t>|,</m:t>
              </m:r>
            </m:e>
            <m:e>
              <m:r>
                <m:t>j∈</m:t>
              </m:r>
              <m:r>
                <m:rPr>
                  <m:scr m:val="script"/>
                </m:rPr>
                <m:t>T</m:t>
              </m:r>
              <m:r>
                <m:t>.</m:t>
              </m:r>
            </m:e>
          </m:mr>
        </m:m>
      </m:oMath>
    </w:p>
    <w:p>
      <w:pPr>
        <w:pStyle w:val="PaperBody"/>
        <w:widowControl/>
      </w:pPr>
      <w:r>
        <w:t>式中，集合 P 包括教育价值、英语流畅度、无广告程度、清洁度和可读性五项可作正向解释的信号；集合 T 为其余17项。目标 t_j 是 A1 训练参考中五维摘要最高20%文本在第 j 项的中位分位，表示指定用途的参考画像。于是 u_j 越大，含义是越符合该项公布的评分规则；对长度、数字比例、DSIR 相似性等指标，不把原始数值越大解释为普遍越好。词数和句数先用 log(1+x) 缩放；QuRating 的四个面向分别变换后平均为一项；缺失指标以0.5作中性效用，同时保存实测覆盖数。</w:t>
      </w:r>
    </w:p>
    <w:p>
      <w:pPr>
        <w:pStyle w:val="PaperBody"/>
        <w:widowControl/>
      </w:pPr>
      <w:r>
        <w:t>六组在作图前固定的相关诊断显示，三项 DSIR 相似性在 A1—A3 的两两 Spearman 系数均超过 0.99，不能当成三份独立质量证据；词数与一元熵、句数的相关也提示长度混杂。数学相似性与词数强负相关，但相关符号不说明“数学质量”与长度存在语义取舍。流畅度与清洁度的相关随数据层变化，更不能仅凭单个汇总相关将二者合并。下图保留有符号数值，以便读者区分冗余、混杂和待解释的分歧。</w:t>
      </w:r>
    </w:p>
    <w:p>
      <w:pPr>
        <w:pStyle w:val="PaperCaption"/>
        <w:keepNext/>
        <w:widowControl/>
        <w:jc w:val="center"/>
      </w:pPr>
      <w:r>
        <w:drawing>
          <wp:inline xmlns:a="http://schemas.openxmlformats.org/drawingml/2006/main">
            <wp:extent cx="5580000" cy="3557250"/>
            <wp:docPr id="14" name="Picture 14"/>
            <wp:cNvGraphicFramePr>
              <a:graphicFrameLocks noChangeAspect="1"/>
            </wp:cNvGraphicFramePr>
            <a:graphic>
              <a:graphicData uri="http://schemas.openxmlformats.org/drawingml/2006/picture">
                <pic:pic>
                  <pic:nvPicPr>
                    <pic:cNvPr id="0" name="FIG-Q1-V5-002_fixed_pair_correlations.png"/>
                    <pic:cNvPicPr/>
                  </pic:nvPicPr>
                  <pic:blipFill>
                    <a:blip r:embed="rId23"/>
                    <a:stretch>
                      <a:fillRect/>
                    </a:stretch>
                  </pic:blipFill>
                  <pic:spPr>
                    <a:xfrm>
                      <a:off x="0" y="0"/>
                      <a:ext cx="5580000" cy="3557250"/>
                    </a:xfrm>
                    <a:prstGeom prst="rect"/>
                  </pic:spPr>
                </pic:pic>
              </a:graphicData>
            </a:graphic>
          </wp:inline>
        </w:drawing>
      </w:r>
    </w:p>
    <w:p>
      <w:pPr>
        <w:pStyle w:val="PaperCaption"/>
        <w:keepLines/>
        <w:widowControl/>
      </w:pPr>
      <w:r>
        <w:t>图1 六组预先固定的信号对在 A1、A2、A3 中的有符号 Spearman 相关。相关诊断用于识别冗余和长度混杂，不能单独确认语义冲突。</w:t>
      </w:r>
    </w:p>
    <w:p>
      <w:pPr>
        <w:pStyle w:val="PaperCaption"/>
        <w:keepNext/>
        <w:widowControl/>
      </w:pPr>
      <w:r>
        <w:t>表3 质量表示与配比模型的候选比较</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对象</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候选及本地证据</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保留用途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取舍依据</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质量表示</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五维画像；DQ0；22项 W0；去冗余 W1</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 回答综合评分；五维和 DQ0 解释；W1 检查权重</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W0/W1 七域次序相同，DQ0 对 arxiv 与 commoncrawl 的排序相反</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配比基准 M0</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0.2846</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零信息比较</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不利用配比变化</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正交线性 M1</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0.2278；13域均改善</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1M 局部主模型</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留出证据支持且可逐域解释</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岭回归 M2</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训练五折分数 0.749715，M1 为 0.750417</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正则化敏感性</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留出 M2−M1 均方误差区间跨零，不升级</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非线性 M3</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预定残差触发条件未满足</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不拟合</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不以留出结果重新启动搜索</w:t>
            </w:r>
          </w:p>
        </w:tc>
      </w:tr>
    </w:tbl>
    <w:p>
      <w:pPr>
        <w:pStyle w:val="PaperBody"/>
        <w:widowControl/>
        <w:spacing w:before="140"/>
      </w:pPr>
      <w:r>
        <w:t>W0 等权使每个经规则转换后的字段拥有相同公开地位，避免根据 Loss 反向挑选权重；W1 仅按训练参考内相关性降低重复信息的影响。若将 W1 表现较好解释为训练质量权重的发现，就混淆了无监督去冗余与训练干预。保留 DQ0 则让五个正向描述维度的排序变化可见，避免综合评分吞没规则依赖性。</w:t>
      </w:r>
    </w:p>
    <w:p>
      <w:pPr>
        <w:pStyle w:val="PaperH2"/>
        <w:widowControl/>
      </w:pPr>
      <w:r>
        <w:t>5.1.3 模型建立</w:t>
      </w:r>
    </w:p>
    <w:p>
      <w:pPr>
        <w:pStyle w:val="PaperBody"/>
        <w:widowControl/>
      </w:pPr>
      <w:r>
        <w:t>在上述效用坐标上，主评分 W0 对22项等权平均；对照评分 W1 仅利用参考数据的指标相关结构降低高度重复的权重。记 ρ_jk 为 A1 参考样本上的 Spearman 相关系数，可写出与实施程序一致的权重规则：</w:t>
      </w:r>
    </w:p>
    <w:p>
      <w:pPr>
        <w:pStyle w:val="PaperEquation"/>
        <w:keepNext w:val="0"/>
        <w:widowControl/>
        <w:spacing w:before="100" w:after="100"/>
      </w:pPr>
      <m:oMath xmlns:m="http://schemas.openxmlformats.org/officeDocument/2006/math" xmlns:mml="http://www.w3.org/1998/Math/MathML">
        <m:sSub>
          <m:e>
            <m:r>
              <m:t>Q</m:t>
            </m:r>
          </m:e>
          <m:sub>
            <m:r>
              <m:rPr>
                <m:sty m:val="p"/>
              </m:rPr>
              <m:t>full</m:t>
            </m:r>
            <m:r>
              <m:t>,i</m:t>
            </m:r>
          </m:sub>
        </m:sSub>
        <m:r>
          <m:t>=</m:t>
        </m:r>
        <m:f>
          <m:fPr>
            <m:type m:val="bar"/>
          </m:fPr>
          <m:num>
            <m:r>
              <m:t>1</m:t>
            </m:r>
          </m:num>
          <m:den>
            <m:r>
              <m:t>22</m:t>
            </m:r>
          </m:den>
        </m:f>
        <m:nary>
          <m:naryPr>
            <m:chr m:val="∑"/>
            <m:limLoc m:val="subSup"/>
            <m:grow m:val="1"/>
            <m:subHide m:val="off"/>
            <m:supHide m:val="off"/>
          </m:naryPr>
          <m:sub>
            <m:r>
              <m:t>j=1</m:t>
            </m:r>
          </m:sub>
          <m:sup>
            <m:r>
              <m:t>22</m:t>
            </m:r>
          </m:sup>
          <m:e>
            <m:sSub>
              <m:e>
                <m:r>
                  <m:t>u</m:t>
                </m:r>
              </m:e>
              <m:sub>
                <m:r>
                  <m:t>ij</m:t>
                </m:r>
              </m:sub>
            </m:sSub>
          </m:e>
        </m:nary>
        <m:r>
          <m:t>.</m:t>
        </m:r>
      </m:oMath>
    </w:p>
    <w:p>
      <w:pPr>
        <w:pStyle w:val="PaperEquation"/>
        <w:keepNext w:val="0"/>
        <w:widowControl/>
        <w:spacing w:before="100" w:after="100"/>
      </w:pPr>
      <m:oMath xmlns:m="http://schemas.openxmlformats.org/officeDocument/2006/math" xmlns:mml="http://www.w3.org/1998/Math/MathML">
        <m:sSub>
          <m:e>
            <m:r>
              <m:t>a</m:t>
            </m:r>
          </m:e>
          <m:sub>
            <m:r>
              <m:t>j</m:t>
            </m:r>
          </m:sub>
        </m:sSub>
        <m:r>
          <m:t>=</m:t>
        </m:r>
        <m:sSup>
          <m:e>
            <m:r>
              <m:t>[1+</m:t>
            </m:r>
            <m:nary>
              <m:naryPr>
                <m:chr m:val="∑"/>
                <m:limLoc m:val="subSup"/>
                <m:grow m:val="1"/>
                <m:subHide m:val="off"/>
                <m:supHide m:val="on"/>
              </m:naryPr>
              <m:sub>
                <m:r>
                  <m:t>k≠j</m:t>
                </m:r>
              </m:sub>
              <m:sup/>
              <m:e>
                <m:r>
                  <m:t>max(0,|</m:t>
                </m:r>
                <m:sSub>
                  <m:e>
                    <m:r>
                      <m:t>ρ</m:t>
                    </m:r>
                  </m:e>
                  <m:sub>
                    <m:r>
                      <m:t>jk</m:t>
                    </m:r>
                  </m:sub>
                </m:sSub>
                <m:r>
                  <m:t>|−0.5)</m:t>
                </m:r>
              </m:e>
            </m:nary>
            <m:r>
              <m:t>]</m:t>
            </m:r>
          </m:e>
          <m:sup>
            <m:r>
              <m:t>−1</m:t>
            </m:r>
          </m:sup>
        </m:sSup>
        <m:r>
          <m:t>.</m:t>
        </m:r>
      </m:oMath>
    </w:p>
    <w:p>
      <w:pPr>
        <w:pStyle w:val="PaperEquation"/>
        <w:keepNext w:val="0"/>
        <w:widowControl/>
        <w:spacing w:before="100" w:after="100"/>
      </w:pPr>
      <m:oMath xmlns:m="http://schemas.openxmlformats.org/officeDocument/2006/math" xmlns:mml="http://www.w3.org/1998/Math/MathML">
        <m:sSub>
          <m:e>
            <m:r>
              <m:t>w</m:t>
            </m:r>
          </m:e>
          <m:sub>
            <m:r>
              <m:t>j</m:t>
            </m:r>
          </m:sub>
        </m:sSub>
        <m:r>
          <m:t>=</m:t>
        </m:r>
        <m:f>
          <m:fPr>
            <m:type m:val="bar"/>
          </m:fPr>
          <m:num>
            <m:sSub>
              <m:e>
                <m:r>
                  <m:t>a</m:t>
                </m:r>
              </m:e>
              <m:sub>
                <m:r>
                  <m:t>j</m:t>
                </m:r>
              </m:sub>
            </m:sSub>
          </m:num>
          <m:den>
            <m:nary>
              <m:naryPr>
                <m:chr m:val="∑"/>
                <m:limLoc m:val="subSup"/>
                <m:grow m:val="1"/>
                <m:subHide m:val="off"/>
                <m:supHide m:val="off"/>
              </m:naryPr>
              <m:sub>
                <m:r>
                  <m:t>ℓ=1</m:t>
                </m:r>
              </m:sub>
              <m:sup>
                <m:r>
                  <m:t>22</m:t>
                </m:r>
              </m:sup>
              <m:e>
                <m:sSub>
                  <m:e>
                    <m:r>
                      <m:t>a</m:t>
                    </m:r>
                  </m:e>
                  <m:sub>
                    <m:r>
                      <m:t>ℓ</m:t>
                    </m:r>
                  </m:sub>
                </m:sSub>
              </m:e>
            </m:nary>
          </m:den>
        </m:f>
        <m:r>
          <m:t>,</m:t>
        </m:r>
        <m:r>
          <m:t>W</m:t>
        </m:r>
        <m:sSub>
          <m:e>
            <m:r>
              <m:t>1</m:t>
            </m:r>
          </m:e>
          <m:sub>
            <m:r>
              <m:t>i</m:t>
            </m:r>
          </m:sub>
        </m:sSub>
        <m:r>
          <m:t>=</m:t>
        </m:r>
        <m:nary>
          <m:naryPr>
            <m:chr m:val="∑"/>
            <m:limLoc m:val="subSup"/>
            <m:grow m:val="1"/>
            <m:subHide m:val="off"/>
            <m:supHide m:val="off"/>
          </m:naryPr>
          <m:sub>
            <m:r>
              <m:t>j=1</m:t>
            </m:r>
          </m:sub>
          <m:sup>
            <m:r>
              <m:t>22</m:t>
            </m:r>
          </m:sup>
          <m:e>
            <m:sSub>
              <m:e>
                <m:r>
                  <m:t>w</m:t>
                </m:r>
              </m:e>
              <m:sub>
                <m:r>
                  <m:t>j</m:t>
                </m:r>
              </m:sub>
            </m:sSub>
            <m:sSub>
              <m:e>
                <m:r>
                  <m:t>u</m:t>
                </m:r>
              </m:e>
              <m:sub>
                <m:r>
                  <m:t>ij</m:t>
                </m:r>
              </m:sub>
            </m:sSub>
          </m:e>
        </m:nary>
        <m:r>
          <m:t>.</m:t>
        </m:r>
      </m:oMath>
    </w:p>
    <w:p>
      <w:pPr>
        <w:pStyle w:val="PaperBody"/>
        <w:widowControl/>
      </w:pPr>
      <w:r>
        <w:t>这里 ρ_jk 表示两项效用的 Spearman 相关，max 表示取0与括号内数值中的较大者。相关性超过0.5的重叠越多，单项在 W1 中的相对权重越小。W1 只用于去冗余对照，Q_full 仍以等权作为主结果；这两套权重均未由训练损失反向调参。</w:t>
      </w:r>
    </w:p>
    <w:p>
      <w:pPr>
        <w:pStyle w:val="PaperBody"/>
        <w:widowControl/>
      </w:pPr>
      <w:r>
        <w:t>样本分数按照同一固定参考计算，领域均值按该领域实际文本数汇总。若将各领域的均值进一步合成语料总体分数，应明确使用文本数加权还是领域等权，两种定义回答的问题不同。五维摘要 DQ0 只对有来源支持的五项正向信号取等权平均，不代替22项主评分。</w:t>
      </w:r>
    </w:p>
    <w:p>
      <w:pPr>
        <w:pStyle w:val="PaperBody"/>
        <w:widowControl/>
      </w:pPr>
      <w:r>
        <w:t>主方案 W0 将22项效用等权平均，即 Q_full(i)=(1/22)Σ_{j=1}^{22}u_{ij}。不读Loss的去冗余对照 W1 在 A1 参考数据上按绝对 Spearman 相关高于0.5的重叠程度缩小权重。272505条记录均有逐样本 W0、W1、DQ0 和覆盖数，272486条22项完整。域均值按文本数加权；表4列出 A1 七域及去重扩展结果，区间为域内文本重新抽样的均值分位，仅衡量当前标注体系的组成敏感性。</w:t>
      </w:r>
    </w:p>
    <w:p>
      <w:pPr>
        <w:pStyle w:val="PaperCaption"/>
        <w:keepNext/>
        <w:widowControl/>
      </w:pPr>
      <w:r>
        <w:t>表4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五项核心信号构成“数值越高、对应描述越好”的主坐标。其余17项同样进入 Q_full；其原始解释另列于完整画像：词数和句数用于长度及目标接近评价；推理复杂度、专业性和文本形态依赖用途；QuRating 的四个面向先分别处理；DSIR 三项在 Q_full 中经目标接近变换后计分，在解释层仍只作目标相似性和长度混杂诊断，不视为三份独立质量证据。Q_full是披露目标选择后的综合评价，不把某一分数当作所有训练用途共有的真实质量排序。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图2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ID。图2给出五维域画像。A1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17个配比在同一配方内求和为一，增加某一领域必然意味着减少其他领域。正交基 H 把配比相对训练平均值的变化投影到16维空间，既去掉和为一造成的精确共线性，也保留原始零配比。式（4）中的回归系数只刻画已观察配方附近、特定验证领域的局部关联；若沿某一领域转入另一领域，需要同时考察13个响应，而不能只依据平均损失。</w:t>
      </w:r>
    </w:p>
    <w:p>
      <w:pPr>
        <w:pStyle w:val="PaperBody"/>
        <w:widowControl/>
      </w:pPr>
      <w:r>
        <w:t>设 t_j 为指定参考画像在第 j 项的固定分位目标，F̂_j 为 A1 训练参考的中秩经验分布。对没有通用原值方向的字段，逐样本目标接近效用和等权综合分写为：</w:t>
      </w:r>
    </w:p>
    <w:p>
      <w:pPr>
        <w:pStyle w:val="PaperEquation"/>
        <w:keepLines/>
        <w:widowControl/>
        <w:spacing w:before="80" w:after="80"/>
        <w:jc w:val="center"/>
      </w:pPr>
      <m:oMath xmlns:m="http://schemas.openxmlformats.org/officeDocument/2006/math" xmlns:mml="http://www.w3.org/1998/Math/MathML">
        <m:sSubSup>
          <m:e>
            <m:r>
              <m:t>u</m:t>
            </m:r>
          </m:e>
          <m:sub>
            <m:r>
              <m:t>ij</m:t>
            </m:r>
          </m:sub>
          <m:sup>
            <m:r>
              <m:rPr>
                <m:sty m:val="p"/>
              </m:rPr>
              <m:t>target</m:t>
            </m:r>
          </m:sup>
        </m:sSubSup>
        <m:r>
          <m:t>=1−</m:t>
        </m:r>
        <m:r>
          <m:t>|</m:t>
        </m:r>
        <m:sSub>
          <m:e>
            <m:limUpp>
              <m:e>
                <m:r>
                  <m:t>F</m:t>
                </m:r>
              </m:e>
              <m:lim>
                <m:r>
                  <m:t>^</m:t>
                </m:r>
              </m:lim>
            </m:limUpp>
          </m:e>
          <m:sub>
            <m:r>
              <m:t>j,A1</m:t>
            </m:r>
          </m:sub>
        </m:sSub>
        <m:r>
          <m:t>(</m:t>
        </m:r>
        <m:sSub>
          <m:e>
            <m:r>
              <m:t>x</m:t>
            </m:r>
          </m:e>
          <m:sub>
            <m:r>
              <m:t>ij</m:t>
            </m:r>
          </m:sub>
        </m:sSub>
        <m:r>
          <m:t>)−</m:t>
        </m:r>
        <m:sSub>
          <m:e>
            <m:r>
              <m:t>t</m:t>
            </m:r>
          </m:e>
          <m:sub>
            <m:r>
              <m:t>j</m:t>
            </m:r>
          </m:sub>
        </m:sSub>
        <m:r>
          <m:t>|</m:t>
        </m:r>
        <m:r>
          <m:t>,</m:t>
        </m:r>
        <m:sSubSup>
          <m:e>
            <m:r>
              <m:t>Q</m:t>
            </m:r>
          </m:e>
          <m:sub>
            <m:r>
              <m:t>i</m:t>
            </m:r>
          </m:sub>
          <m:sup>
            <m:r>
              <m:t>W0</m:t>
            </m:r>
          </m:sup>
        </m:sSubSup>
        <m:r>
          <m:t>=</m:t>
        </m:r>
        <m:f>
          <m:fPr>
            <m:type m:val="bar"/>
          </m:fPr>
          <m:num>
            <m:r>
              <m:t>1</m:t>
            </m:r>
          </m:num>
          <m:den>
            <m:r>
              <m:t>22</m:t>
            </m:r>
          </m:den>
        </m:f>
        <m:nary>
          <m:naryPr>
            <m:chr m:val="∑"/>
            <m:limLoc m:val="subSup"/>
            <m:grow m:val="1"/>
            <m:subHide m:val="off"/>
            <m:supHide m:val="off"/>
          </m:naryPr>
          <m:sub>
            <m:r>
              <m:t>j=1</m:t>
            </m:r>
          </m:sub>
          <m:sup>
            <m:r>
              <m:t>22</m:t>
            </m:r>
          </m:sup>
          <m:e/>
        </m:nary>
        <m:sSub>
          <m:e>
            <m:r>
              <m:t>u</m:t>
            </m:r>
          </m:e>
          <m:sub>
            <m:r>
              <m:t>ij</m:t>
            </m:r>
          </m:sub>
        </m:sSub>
        <m:r>
          <m:t>.</m:t>
        </m:r>
      </m:oMath>
      <w:r>
        <w:t xml:space="preserve">    （6）</w:t>
      </w:r>
    </w:p>
    <w:p>
      <w:pPr>
        <w:pStyle w:val="PaperBody"/>
        <w:widowControl/>
      </w:pPr>
      <w:r>
        <w:t>分位映射只消除原始量纲，不能单独决定语义方向；目标 t_j 的公布使 Q_full 可复算，也使其用途依赖性明确。对于五个正向信号，上式中的 u_{ij} 改用较高分位对应较高效用的规则。W1 的训练内去冗余权重与完整字段合同一同保存，正文不将 W1 重新估计为基于验证 Loss 的最优权重。</w:t>
      </w:r>
    </w:p>
    <w:p>
      <w:pPr>
        <w:pStyle w:val="PaperBody"/>
        <w:widowControl/>
      </w:pPr>
      <w:r>
        <w:t>领域均值之后必须检验汇总是否稳定。抽样 A1 与剔除重叠 ID 的 A2、A3 扩展均值分别在 arxiv、github 对应领域接近，支持同标注体系的描述复现；然而 W0/W1 与 DQ0 对 arxiv 和 commoncrawl 的相对次序不同。下图把三种表示各自排序，显示差别来自目标规则和解释维度，而非抽样噪声被某个唯一“真实质量”排序解决。</w:t>
      </w:r>
    </w:p>
    <w:p>
      <w:pPr>
        <w:pStyle w:val="PaperCaption"/>
        <w:keepNext/>
        <w:widowControl/>
        <w:jc w:val="center"/>
      </w:pPr>
      <w:r>
        <w:drawing>
          <wp:inline xmlns:a="http://schemas.openxmlformats.org/drawingml/2006/main">
            <wp:extent cx="5580000" cy="3371250"/>
            <wp:docPr id="15" name="Picture 15"/>
            <wp:cNvGraphicFramePr>
              <a:graphicFrameLocks noChangeAspect="1"/>
            </wp:cNvGraphicFramePr>
            <a:graphic>
              <a:graphicData uri="http://schemas.openxmlformats.org/drawingml/2006/picture">
                <pic:pic>
                  <pic:nvPicPr>
                    <pic:cNvPr id="0" name="FIG-Q1-V5-001_rank_rules.png"/>
                    <pic:cNvPicPr/>
                  </pic:nvPicPr>
                  <pic:blipFill>
                    <a:blip r:embed="rId24"/>
                    <a:stretch>
                      <a:fillRect/>
                    </a:stretch>
                  </pic:blipFill>
                  <pic:spPr>
                    <a:xfrm>
                      <a:off x="0" y="0"/>
                      <a:ext cx="5580000" cy="3371250"/>
                    </a:xfrm>
                    <a:prstGeom prst="rect"/>
                  </pic:spPr>
                </pic:pic>
              </a:graphicData>
            </a:graphic>
          </wp:inline>
        </w:drawing>
      </w:r>
    </w:p>
    <w:p>
      <w:pPr>
        <w:pStyle w:val="PaperCaption"/>
        <w:keepLines/>
        <w:widowControl/>
      </w:pPr>
      <w:r>
        <w:t>图3 A1 七域的 Q_full 等权、去冗余 W1 与五维 DQ0 独立排序。A2、A3 非重叠扩展均值与对应领域接近；这些均属标注体系内的描述结果。</w:t>
      </w:r>
    </w:p>
    <w:p>
      <w:pPr>
        <w:pStyle w:val="PaperH2"/>
        <w:widowControl/>
      </w:pPr>
      <w:r>
        <w:t>5.1.4 模型求解</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表5汇总主要验证，图4展示逐域结果。1M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表5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图4 1M留出样本的逐领域预测误差。全13域改善仍伴随不同的误差水平，完整数值见附录B。</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未重拟合，只比较中心化响应形状、排序与训练几何支持。表6给出补充结果。</w:t>
      </w:r>
    </w:p>
    <w:p>
      <w:pPr>
        <w:pStyle w:val="PaperCaption"/>
        <w:keepNext/>
        <w:widowControl/>
      </w:pPr>
      <w:r>
        <w:t>表6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Body"/>
        <w:widowControl/>
      </w:pPr>
      <w:r>
        <w:t>综上，问题一得到逐样本 Q_full、领域比较、五维解释画像和局部配比预测。评分的方向统一是明确的评价规则，配比模型的有效证据主要来自1M留出实验。后文把两者分别作为描述信息和有范围限制的模型输入，不把这些数据自动合成未观测到的训练质量收益。</w:t>
      </w:r>
    </w:p>
    <w:p>
      <w:pPr>
        <w:pStyle w:val="PaperBody"/>
        <w:widowControl/>
      </w:pPr>
      <w:r>
        <w:t>配比模型在训练阶段通过 17 维闭合约束所对应的 16 维正交坐标拟合，既保留零配比，也避免把某一分量单独增加而总量不变的不可行操作。M1 在 1M 的 A6—A7 留出中对全部十三个响应域改善；60M 只保留部分中心化形状，1B 的中心化误差比达到 3.108。A12—A15 的 10B/70B 是估算压力检查，误差比分别为 2.3452/2.2672，不构成新的训练真值。跨规模图把“局部成立”和“运输失败”放在同一量尺，因而 Q2 与 Q3 不继承一个跨规模通用的配比收益参数。</w:t>
      </w:r>
    </w:p>
    <w:p>
      <w:pPr>
        <w:pStyle w:val="PaperCaption"/>
        <w:keepNext/>
        <w:widowControl/>
        <w:jc w:val="center"/>
      </w:pPr>
      <w:r>
        <w:drawing>
          <wp:inline xmlns:a="http://schemas.openxmlformats.org/drawingml/2006/main">
            <wp:extent cx="5580000" cy="3519927"/>
            <wp:docPr id="16" name="Picture 16"/>
            <wp:cNvGraphicFramePr>
              <a:graphicFrameLocks noChangeAspect="1"/>
            </wp:cNvGraphicFramePr>
            <a:graphic>
              <a:graphicData uri="http://schemas.openxmlformats.org/drawingml/2006/picture">
                <pic:pic>
                  <pic:nvPicPr>
                    <pic:cNvPr id="0" name="FIG-Q1-R4-003_scale_transfer_failure.png"/>
                    <pic:cNvPicPr/>
                  </pic:nvPicPr>
                  <pic:blipFill>
                    <a:blip r:embed="rId25"/>
                    <a:stretch>
                      <a:fillRect/>
                    </a:stretch>
                  </pic:blipFill>
                  <pic:spPr>
                    <a:xfrm>
                      <a:off x="0" y="0"/>
                      <a:ext cx="5580000" cy="3519927"/>
                    </a:xfrm>
                    <a:prstGeom prst="rect"/>
                  </pic:spPr>
                </pic:pic>
              </a:graphicData>
            </a:graphic>
          </wp:inline>
        </w:drawing>
      </w:r>
    </w:p>
    <w:p>
      <w:pPr>
        <w:pStyle w:val="PaperCaption"/>
        <w:keepLines/>
        <w:widowControl/>
      </w:pPr>
      <w:r>
        <w:t>图5 冻结 M1 相对于 M0 的跨规模中心化误差比。1M 有局部留出收益，60M 仅部分迁移，1B 失败；10B、70B 估算表另作压力检查。</w:t>
      </w:r>
    </w:p>
    <w:p>
      <w:pPr>
        <w:pStyle w:val="PaperBody"/>
        <w:widowControl/>
      </w:pPr>
      <w:r>
        <w:t>领域配比与领域质量在本题中属于两个不同实验层：前者以训练运行和 Loss 验证，后者以文档标注描述。二者缺少同运行的 Q—p—N—D—Loss 键，因而不能把 A1 的高评分领域直接推成配方最优域。当前可交付的是有评价规则的 Q_full、五维解释画像、1M 局部配比预测和明确的规模运输边界；这也是后续质量情景与主标度律分开处理的理由。</w:t>
      </w:r>
    </w:p>
    <w:p>
      <w:pPr>
        <w:pStyle w:val="PaperH2"/>
        <w:widowControl/>
      </w:pPr>
      <w:r>
        <w:t>5.2 问题二的模型的建立和求解</w:t>
      </w:r>
    </w:p>
    <w:p>
      <w:pPr>
        <w:pStyle w:val="PaperH2"/>
        <w:widowControl/>
      </w:pPr>
      <w:r>
        <w:t>5.2.1 具体分析</w:t>
      </w:r>
    </w:p>
    <w:p>
      <w:pPr>
        <w:pStyle w:val="PaperBody"/>
        <w:widowControl/>
      </w:pPr>
      <w:r>
        <w:t>问题二需要在规模、数据量、质量和领域配比之间建立数量关系。B1 具有完整的 N—D—Loss 轨迹，可以独立估计规模与数据量的衰减项；质量表是半合成校准，A 表中的配比损失又具有不同来源量尺。因此先估计 B1 内部可识别的加性幂律，再以显式情景系数表示质量与配比的可能作用，并分别讨论边际效用和有限替代。</w:t>
      </w:r>
    </w:p>
    <w:p>
      <w:pPr>
        <w:pStyle w:val="PaperH2"/>
        <w:widowControl/>
      </w:pPr>
      <w:r>
        <w:t>5.2.2 模型准备</w:t>
      </w:r>
    </w:p>
    <w:p>
      <w:pPr>
        <w:pStyle w:val="PaperBody"/>
        <w:widowControl/>
      </w:pPr>
      <w:r>
        <w:t>B1 提供 8 个参数规模、每个规模 147 个训练检查点，共 1176 行。N、D 分别以十亿参数和十亿 token 为单位。</w:t>
      </w:r>
    </w:p>
    <w:p>
      <w:pPr>
        <w:pStyle w:val="PaperBody"/>
        <w:widowControl/>
      </w:pPr>
      <w:r>
        <w:t>估计时以完整规模轨迹为划分单位。一个轨迹中的147个检查点共享训练过程，若逐行随机分配到训练集和测试集，会使同一训练路径的信息同时出现在两侧，导致检验误差偏低。N 和 D 均保持十亿单位；B2、B4、B5 的损失只做各自来源内部的中心化形状诊断。</w:t>
      </w:r>
    </w:p>
    <w:p>
      <w:pPr>
        <w:pStyle w:val="PaperH2"/>
        <w:widowControl/>
      </w:pPr>
      <w:r>
        <w:t>5.2.3 模型建立</w:t>
      </w:r>
    </w:p>
    <w:p>
      <w:pPr>
        <w:pStyle w:val="PaperBody"/>
        <w:widowControl/>
      </w:pPr>
      <w:r>
        <w:t>从附件内加性幂律出发，将不可约损失、参数衰减项和数据衰减项相加。幅度系数和指数均限制为正，使资源投入增加时预测损失下降、边际改善逐渐减小。用12组初值执行有界最小二乘，避免把局部数值解误认为唯一可行参数。</w:t>
      </w:r>
    </w:p>
    <w:p>
      <w:pPr>
        <w:pStyle w:val="PaperBody"/>
        <w:widowControl/>
      </w:pPr>
      <w:r>
        <w:t>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（7）</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降低且边际改善递减，不证明现实训练完全满足加性可分离。表7给出估计及整轨迹重抽样的条件分位区间。</w:t>
      </w:r>
    </w:p>
    <w:p>
      <w:pPr>
        <w:pStyle w:val="PaperCaption"/>
        <w:keepNext/>
        <w:widowControl/>
      </w:pPr>
      <w:r>
        <w:t>表7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（8）</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Body"/>
        <w:widowControl/>
      </w:pPr>
      <w:r>
        <w:t>令 U=A N^(−α)、V=B D^(−β)。对式（7）求导并按总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（9）</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（10）</w:t>
      </w:r>
    </w:p>
    <w:p>
      <w:pPr>
        <w:pStyle w:val="PaperBody"/>
        <w:widowControl/>
      </w:pPr>
      <w:r>
        <w:t>有限替代要求右端分母为正，且新点仍在模型支持范围。图6只展示总Loss弹性在附件支持网格中的分布；边际导数与等Loss替代由式（9）—（9）及数值示例承担。在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7" name="Picture 7"/>
            <wp:cNvGraphicFramePr>
              <a:graphicFrameLocks noChangeAspect="1"/>
            </wp:cNvGraphicFramePr>
            <a:graphic>
              <a:graphicData uri="http://schemas.openxmlformats.org/drawingml/2006/picture">
                <pic:pic>
                  <pic:nvPicPr>
                    <pic:cNvPr id="0" name="FIG4_Q2_TOTAL_LOSS_ELASTICITY_REEXPORT.png"/>
                    <pic:cNvPicPr/>
                  </pic:nvPicPr>
                  <pic:blipFill>
                    <a:blip r:embed="rId15"/>
                    <a:stretch>
                      <a:fillRect/>
                    </a:stretch>
                  </pic:blipFill>
                  <pic:spPr>
                    <a:xfrm>
                      <a:off x="0" y="0"/>
                      <a:ext cx="4320000" cy="3376073"/>
                    </a:xfrm>
                    <a:prstGeom prst="rect"/>
                  </pic:spPr>
                </pic:pic>
              </a:graphicData>
            </a:graphic>
          </wp:inline>
        </w:drawing>
      </w:r>
    </w:p>
    <w:p>
      <w:pPr>
        <w:pStyle w:val="PaperCaption"/>
        <w:widowControl/>
      </w:pPr>
      <w:r>
        <w:t>图6 参数与数据规模对总Loss的弹性热图。横纵轴按B1网格位置排布；图中没有有限替代曲线，替代关系由式（9）给出。</w:t>
      </w:r>
    </w:p>
    <w:p>
      <w:pPr>
        <w:pStyle w:val="PaperH2"/>
        <w:widowControl/>
      </w:pPr>
      <w:r>
        <w:t>5.2.4 模型求解</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点。表8与图7显示幂律模型相对于均值和对数线性对照的结果。</w:t>
      </w:r>
    </w:p>
    <w:p>
      <w:pPr>
        <w:pStyle w:val="PaperCaption"/>
        <w:keepNext/>
        <w:widowControl/>
      </w:pPr>
      <w:r>
        <w:t>表8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8" name="Picture 8"/>
            <wp:cNvGraphicFramePr>
              <a:graphicFrameLocks noChangeAspect="1"/>
            </wp:cNvGraphicFramePr>
            <a:graphic>
              <a:graphicData uri="http://schemas.openxmlformats.org/drawingml/2006/picture">
                <pic:pic>
                  <pic:nvPicPr>
                    <pic:cNvPr id="0" name="FIG-Q2-R5-002.png"/>
                    <pic:cNvPicPr/>
                  </pic:nvPicPr>
                  <pic:blipFill>
                    <a:blip r:embed="rId17"/>
                    <a:stretch>
                      <a:fillRect/>
                    </a:stretch>
                  </pic:blipFill>
                  <pic:spPr>
                    <a:xfrm>
                      <a:off x="0" y="0"/>
                      <a:ext cx="5941060" cy="3928764"/>
                    </a:xfrm>
                    <a:prstGeom prst="rect"/>
                  </pic:spPr>
                </pic:pic>
              </a:graphicData>
            </a:graphic>
          </wp:inline>
        </w:drawing>
      </w:r>
    </w:p>
    <w:p>
      <w:pPr>
        <w:pStyle w:val="PaperCaption"/>
        <w:widowControl/>
      </w:pPr>
      <w:r>
        <w:t>图7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（11）</w:t>
      </w:r>
    </w:p>
    <w:p>
      <w:pPr>
        <w:pStyle w:val="PaperBody"/>
        <w:widowControl/>
      </w:pPr>
      <w:r>
        <w:t>Q0=0.5，λ 取 0、0.5、1、1.5。ΔL_A 为 A 来源中相对于参考配比的 R0 变化；k_s 还包含 A/B Loss 量尺转换，无法由现有数据估计。默认基线为 h_Q=0、k_s=0。由此广义式在参考质量与配比处退化为式（7）；非零质量项和跨来源配比项只作为明确假定的情景，不以拟合符号冒充已经识别的统一规律。</w:t>
      </w:r>
    </w:p>
    <w:p>
      <w:pPr>
        <w:pStyle w:val="PaperCaption"/>
        <w:keepNext/>
        <w:widowControl/>
      </w:pPr>
      <w:r>
        <w:t>表9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替代由式（11）求导；在固定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（12）</w:t>
      </w:r>
    </w:p>
    <w:p>
      <w:pPr>
        <w:pStyle w:val="PaperBody"/>
        <w:widowControl/>
      </w:pPr>
      <w:r>
        <w:t>表9的替代量取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（13）</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Body"/>
        <w:widowControl/>
      </w:pPr>
      <w:r>
        <w:t>问题二的核心可复核结果是 B1 量尺内的 N—D 曲面及其导数、弹性和替代关系。质量收益的数值只由半合成表提供条件校准，配比运输系数尚无共同量尺可估，因此四因素表达式应连同情景系数一并解读。</w:t>
      </w:r>
    </w:p>
    <w:p>
      <w:pPr>
        <w:pStyle w:val="PaperH2"/>
        <w:widowControl/>
      </w:pPr>
      <w:r>
        <w:t>5.3 问题三的模型的建立和求解</w:t>
      </w:r>
    </w:p>
    <w:p>
      <w:pPr>
        <w:pStyle w:val="PaperH2"/>
        <w:widowControl/>
      </w:pPr>
      <w:r>
        <w:t>5.3.1 具体分析</w:t>
      </w:r>
    </w:p>
    <w:p>
      <w:pPr>
        <w:pStyle w:val="PaperBody"/>
        <w:widowControl/>
      </w:pPr>
      <w:r>
        <w:t>问题三在固定算力预算下，决定参数量、训练数据量以及条件情景中的质量投入。基础训练和长文本注意力成本都与 N、D 的乘积相关，质量处理成本则随 D 和质量目标改变。优化的关键是先统一单位和统计支持边界，再区分预算紧约束时的内点解、支持界活跃时的边界解，以及预算富余后的平台。</w:t>
      </w:r>
    </w:p>
    <w:p>
      <w:pPr>
        <w:pStyle w:val="PaperH2"/>
        <w:widowControl/>
      </w:pPr>
      <w:r>
        <w:t>5.3.2 模型准备</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（14）</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（15）</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主问题关闭质量收益和配比运输，以式（7）最小化附件内部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Body"/>
        <w:widowControl/>
      </w:pPr>
      <w:r>
        <w:t>式（14）中 N、D 均以十亿计，因此 ND 在基础训练项中乘以10¹⁸；按 token 支付的质量成本仅随 D 乘以10⁹。把总成本除以10¹⁸后，可在同一归一预算 c 下比较各项开销。参考质量 Q0=0.5 来自情景设定，不能由文档评分 DQ0 直接替换。</w:t>
      </w:r>
    </w:p>
    <w:p>
      <w:pPr>
        <w:pStyle w:val="PaperH2"/>
        <w:widowControl/>
      </w:pPr>
      <w:r>
        <w:t>5.3.3 模型建立</w:t>
      </w:r>
    </w:p>
    <w:p>
      <w:pPr>
        <w:pStyle w:val="PaperBody"/>
        <w:widowControl/>
      </w:pPr>
      <w:r>
        <w:t>固定 L_ctx 且 r=0 时，若两支持上界都可承担，则取两上界并允许预算闲置。否则目标对 N、D 均单调下降，预算紧约束给出 ND=K=c/k。将 D=K/N 代入式（7），令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（16）</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（17）</w:t>
      </w:r>
    </w:p>
    <w:p>
      <w:pPr>
        <w:pStyle w:val="PaperBody"/>
        <w:widowControl/>
      </w:pPr>
      <w:r>
        <w:t>式（17）仅用于预算紧且可行区间非空的情形；若 K&lt;N_min D_min 则不可行。该推导同时说明内点 N、D 对预算的弹性分别为 0.451522、0.548478。表10给出参考上下文 2048、质量收益与配比运输均关闭时的三个代表配置。</w:t>
      </w:r>
    </w:p>
    <w:p>
      <w:pPr>
        <w:pStyle w:val="PaperCaption"/>
        <w:keepNext/>
        <w:widowControl/>
      </w:pPr>
      <w:r>
        <w:t>表10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定义结构转移为最优配置的活跃约束集合改变，而不把平滑比例变化直接称为质变。图8显示，预算约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图8 题设成本代理与附件内部Loss下的预算配置及损失路径。竖向点线标示统计支持界开始活跃的位置；橙色虚线为最优数据量，平台不代表真实训练收益终极饱和。</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（18）</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表11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图9 三种题设质量成本下的条件Q与Loss路径。收益假设来自半合成质量校准，曲线不是实测投资回报。</w:t>
      </w:r>
    </w:p>
    <w:p>
      <w:pPr>
        <w:pStyle w:val="PaperBody"/>
        <w:widowControl/>
      </w:pPr>
      <w:r>
        <w:t>表11对比 10¹⁹ 预算、2048 上下文和参考收益 h_Q=0.361995 下的结果。图9展示完整条件投入路径。成本形式改变机会成本，因而即使采用相同收益假设，也可能给出几乎不投入、中等投入或直接投向上界的不同质量选择。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（19）</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Body"/>
        <w:widowControl/>
      </w:pPr>
      <w:r>
        <w:t>解析式中的 K=c/k 是固定上下文下可购买的 N·D 乘积。将预算约束代入损失函数后，log N 方向上的目标严格凸，因此预算紧且边界可行时可先求唯一内点，再按支持上下界投影。数值优化用于检查解析求解和质量情景的局部谷，不能代替对目标函数外部有效性的检验。</w:t>
      </w:r>
    </w:p>
    <w:p>
      <w:pPr>
        <w:pStyle w:val="PaperH2"/>
        <w:widowControl/>
      </w:pPr>
      <w:r>
        <w:t>5.3.4 模型求解</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（20）</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图10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个条件配置。没有把各参数的边际区间独立组合。图10分开显示参数数值敏感性和收益机制情景范围。例如参考低预算的参数条件区间约为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Body"/>
        <w:widowControl/>
      </w:pPr>
      <w:r>
        <w:t>在主规格中，配比运输系数取零，质量固定于参考值。这样得到的最优配置只对应 B1 观测范围内、题设算力代理下的损失最小化。三类质量成本以及较长上下文给出的配置变化是可比较的条件分析，不包含实际语料供给、硬件价格或长上下文收益。</w:t>
      </w:r>
    </w:p>
    <w:p>
      <w:pPr>
        <w:pStyle w:val="PaperH2"/>
        <w:widowControl/>
      </w:pPr>
      <w:r>
        <w:t>5.4 问题四的模型的建立和求解</w:t>
      </w:r>
    </w:p>
    <w:p>
      <w:pPr>
        <w:pStyle w:val="PaperH2"/>
        <w:widowControl/>
      </w:pPr>
      <w:r>
        <w:t>5.4.1 具体分析</w:t>
      </w:r>
    </w:p>
    <w:p>
      <w:pPr>
        <w:pStyle w:val="PaperBody"/>
        <w:widowControl/>
      </w:pPr>
      <w:r>
        <w:t>问题四研究的是模型能力前沿，而前三问的目标主要是训练损失。若跨来源 Loss—Benchmark 桥接不能在留出规模上优于简单基准，损失预测就不能直接变成能力分数。本文从六类同口径原始评测得分构造历史前沿，再检验参数规模与剩余变化的描述性分解，最后在外生算力增长路径下给出带条件区间的未来投影。</w:t>
      </w:r>
    </w:p>
    <w:p>
      <w:pPr>
        <w:pStyle w:val="PaperH2"/>
        <w:widowControl/>
      </w:pPr>
      <w:r>
        <w:t>5.4.2 模型准备</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（21）</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Body"/>
        <w:widowControl/>
      </w:pPr>
      <w:r>
        <w:t>评测群体的构成会随时间变化，28天窗口的90%分位刻画的是近期较高表现群体，而非单一模型的永久最高纪录。日期使用评测文件时间，避免把模型发布日期或提交日期混入前沿序列。六个任务先按各自规定的原始指标取分，再等权平均；这样得到的0—100分数始终处于同一任务组合。</w:t>
      </w:r>
    </w:p>
    <w:p>
      <w:pPr>
        <w:pStyle w:val="PaperH2"/>
        <w:widowControl/>
      </w:pPr>
      <w:r>
        <w:t>5.4.3 模型建立</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和配对时点也未完全核实。表12给出高可比组的留一规模结果。</w:t>
      </w:r>
    </w:p>
    <w:p>
      <w:pPr>
        <w:pStyle w:val="PaperCaption"/>
        <w:keepNext/>
        <w:widowControl/>
      </w:pPr>
      <w:r>
        <w:t>表12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（22）</w:t>
      </w:r>
    </w:p>
    <w:p>
      <w:pPr>
        <w:pStyle w:val="PaperBody"/>
        <w:widowControl/>
      </w:pPr>
      <w:r>
        <w:t>式（22）中的时间以年计。θ_N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（23）</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token、算法、数据、架构、对齐与微调、家族组成和选择噪声。图11展示历史前沿及描述分量。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图11 前沿变化的参数关联与调整残差分解。两分量相加等于前沿，不表示完整规模与因果技术贡献。</w:t>
      </w:r>
    </w:p>
    <w:p>
      <w:pPr>
        <w:pStyle w:val="PaperBody"/>
        <w:widowControl/>
      </w:pPr>
      <w:r>
        <w:t>表13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表13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lnD，不插补其余847条。表14显示删一模型及compute口径检查后的大幅波动；小样本还混合不同家族，不能把子样本系数投射到完整前沿。</w:t>
      </w:r>
    </w:p>
    <w:p>
      <w:pPr>
        <w:pStyle w:val="PaperCaption"/>
        <w:keepNext/>
        <w:widowControl/>
      </w:pPr>
      <w:r>
        <w:t>表14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周没有可用回测，更无30—42个月覆盖验证。表15给出宏观能力点数的 MAE。</w:t>
      </w:r>
    </w:p>
    <w:p>
      <w:pPr>
        <w:pStyle w:val="PaperCaption"/>
        <w:keepNext/>
        <w:widowControl/>
      </w:pPr>
      <w:r>
        <w:t>表15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（24）</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Body"/>
        <w:widowControl/>
      </w:pPr>
      <w:r>
        <w:t>式（22）中的 θ_N 测量在所选样本、时间与家族控制下，能力分数与 log N 的统计关联。式（23）只是同一前沿变化的代数拆分；剩余分量包含训练数据、算法、模型架构、对齐、筛选和噪声等多种来源。训练 D 的同口径记录过少，因而无法将“剩余”进一步识别为独立的技术进步份额。</w:t>
      </w:r>
    </w:p>
    <w:p>
      <w:pPr>
        <w:pStyle w:val="PaperH2"/>
        <w:widowControl/>
      </w:pPr>
      <w:r>
        <w:t>5.4.4 模型求解</w:t>
      </w:r>
    </w:p>
    <w:p>
      <w:pPr>
        <w:pStyle w:val="PaperBody"/>
        <w:widowControl/>
      </w:pPr>
      <w:r>
        <w:t>预测原点为 2026-09-25，但最后评测观测为 2025-03-14，已经相隔 560 天。因此“未来12和24个月”分别指 2027-09-25、2028-09-25，实际距离最后数据约 30 和 42 个月，两者均以远外推为主。表16及图12把这些日期与条件中心并列，不能把中心解释为已经长期回测的产业预测。</w:t>
      </w:r>
    </w:p>
    <w:p>
      <w:pPr>
        <w:pStyle w:val="PaperCaption"/>
        <w:keepNext/>
        <w:widowControl/>
      </w:pPr>
      <w:r>
        <w:t>表16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图12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第二类是模型不确定性。表16最后一列仅为四个预定动态模型的中心预测范围，没有概率覆盖含义，也没有包含所有可能模型或全部筛选敏感性。它与前一列不能互换，不能将较窄者择优作为最终风险范围。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第三类是外生算力增长情景及未识别的结构变化。参数分量的全时段趋势 b_S=−0.029739 分/周，不能作为可削减的正增长项来比较放缓。为作条件敏感性分析，另指定一个透明的正增长参照；它不把负趋势改写成正向经验估计。历史前沿排序邻点的插值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（25）</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分/lnN，把假设的规模路径直接在benchmark分数空间平移；不使用失败的Loss桥接。表17给出可区分的条件中心，减幅分别为参考路径关联增量的一半和全部。</w:t>
      </w:r>
    </w:p>
    <w:p>
      <w:pPr>
        <w:pStyle w:val="PaperCaption"/>
        <w:keepNext/>
        <w:widowControl/>
      </w:pPr>
      <w:r>
        <w:t>表17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17没有为未来情景估计发生概率，也没有经验覆盖区间；表16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Body"/>
        <w:widowControl/>
      </w:pPr>
      <w:r>
        <w:t>预测情景中的 ρ 是假定的增长保留比例，而非从历史数据估计的政策参数。ρ=1 对应原动态模型中心；ρ=0.5 和 ρ=0 仅展示在固定训练 D 及指定正增长参照下，减少参数路径可能造成的能力分数变化。原模型条件区间和不同模型中心范围分别表示不同种类的不确定性，不应合并为同一个置信区间。</w:t>
      </w:r>
    </w:p>
    <w:p>
      <w:pPr>
        <w:pStyle w:val="PaperH1"/>
        <w:widowControl/>
      </w:pPr>
      <w:r>
        <w:t>六、模型检验与分析</w:t>
      </w:r>
    </w:p>
    <w:p>
      <w:pPr>
        <w:pStyle w:val="PaperH2"/>
        <w:widowControl/>
      </w:pPr>
      <w:r>
        <w:t>6.1 误差分析</w:t>
      </w:r>
    </w:p>
    <w:p>
      <w:pPr>
        <w:pStyle w:val="PaperBody"/>
        <w:widowControl/>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 RMSE 直接相加或作高低排名。</w:t>
      </w:r>
    </w:p>
    <w:p>
      <w:pPr>
        <w:pStyle w:val="PaperBody"/>
        <w:widowControl/>
      </w:pPr>
      <w:r>
        <w:t>配比模型在1M的256组留出样本上使平均响应 RMSE 从0.2846降到0.2278，且13个验证领域分别改善；然而1B中心化误差比达到3.108，10B和70B估算表的误差比也超过2。这个差别说明局部预测效果不构成跨规模泛化的证据。B1 加性幂律在整规模、前向和双维分块检验中的宏 RMSE 分别约为0.000146888、0.000111642和0.000114134，支持附件内部曲面的规则性，但不足以核验外部验证语料的共同量尺。</w:t>
      </w:r>
    </w:p>
    <w:p>
      <w:pPr>
        <w:pStyle w:val="PaperBody"/>
        <w:widowControl/>
      </w:pPr>
      <w:r>
        <w:t>Loss—Benchmark 桥接的高可比组只有七个规模。均值基准 RMSE 为0.424448，线性桥接为0.552834，单调插值为0.436635；两种候选均未通过相对基准的留出检验。因此问题四直接在原始能力分数空间预测。前沿模型仅有4周和13周回测，26周与52周均无可用折次，未来12个月和24个月的误差不能由短期 MAE 外推为经验覆盖率。</w:t>
      </w:r>
    </w:p>
    <w:p>
      <w:pPr>
        <w:pStyle w:val="PaperH2"/>
        <w:widowControl/>
      </w:pPr>
      <w:r>
        <w:t>6.2 灵敏度分析</w:t>
      </w:r>
    </w:p>
    <w:p>
      <w:pPr>
        <w:pStyle w:val="PaperBody"/>
        <w:widowControl/>
      </w:pPr>
      <w:r>
        <w:t>质量评价的方向与权重敏感性通过等权 W0、去冗余 W1 和五维 DQ0 并列呈现。W0 与 W1 在 A1 七域的点估计次序相同，但五维摘要将 arxiv 排在 commoncrawl 前，综合评分则相反；这反映评价目标和权重约定会改变领域解释。指标冲突阈值以0.75、0.80、0.90检查，统计分歧与语义冲突分别报告，避免把阈值变化误写成质量真值变化。</w:t>
      </w:r>
    </w:p>
    <w:p>
      <w:pPr>
        <w:pStyle w:val="PaperBody"/>
        <w:widowControl/>
      </w:pPr>
      <w:r>
        <w:t>预算优化对机制假设更敏感。相同的半合成质量收益幅度下，指数、幂函数和对数质量成本对应的条件最优 Q 分别约为0.675、0.507和1.000；上下文从2048延长到131072时，10¹⁹预算下的基线 Loss 从2.998935升至3.367161。联合参数传播的区间很窄，主要反映 B1 曲面的拟合稳定；成本函数和收益运输造成的机制范围需另报。</w:t>
      </w:r>
    </w:p>
    <w:p>
      <w:pPr>
        <w:pStyle w:val="PaperBody"/>
        <w:widowControl/>
      </w:pPr>
      <w:r>
        <w:t>能力分解对样本筛选及时间起点尤为敏感。主规格的参数关联份额为17.02%，改用已知家族、严格许可证或较晚起点时可出现负值。预测同时展示有界 logit 模型的条件95%区间、四种动态模型中心范围，以及 ρ=1、0.5、0 的外生情景中心。三类结果分别对应参数与扰动、模型选择、未来机制假设，任何一项都不能替代另外两项。</w:t>
      </w:r>
    </w:p>
    <w:p>
      <w:pPr>
        <w:pStyle w:val="PaperH1"/>
        <w:widowControl/>
      </w:pPr>
      <w:r>
        <w:t>七、模型的评价</w:t>
      </w:r>
    </w:p>
    <w:p>
      <w:pPr>
        <w:pStyle w:val="PaperH2"/>
        <w:widowControl/>
      </w:pPr>
      <w:r>
        <w:t>7.1 模型的优点</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H2"/>
        <w:widowControl/>
      </w:pPr>
      <w:r>
        <w:t>7.2 模型的缺点</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16的条件中心代替高可信产业预测，也不能将模型得分上界当作真实技术饱和证据。</w:t>
      </w:r>
    </w:p>
    <w:p>
      <w:pPr>
        <w:pStyle w:val="PaperH1"/>
        <w:widowControl/>
      </w:pPr>
      <w:r>
        <w:t>八、模型的改进与推广</w:t>
      </w:r>
    </w:p>
    <w:p>
      <w:pPr>
        <w:pStyle w:val="PaperH2"/>
        <w:widowControl/>
      </w:pPr>
      <w:r>
        <w:t>8.1 模型的改进</w:t>
      </w:r>
    </w:p>
    <w:p>
      <w:pPr>
        <w:pStyle w:val="PaperBody"/>
        <w:widowControl/>
      </w:pPr>
      <w:r>
        <w:t>质量评价需要增加同文本的人工目标标注和独立训练干预数据，才能判断目标接近效用是否对应真实训练收益。对于长度、数字比例和 DSIR 相似性等用途依赖指标，可按语言、领域和任务分别设置参考画像，并用新增样本对照固定方向规则；若跨组排序不稳定，应保留分维结果而不是强行统一为普适分数。</w:t>
      </w:r>
    </w:p>
    <w:p>
      <w:pPr>
        <w:pStyle w:val="PaperBody"/>
        <w:widowControl/>
      </w:pPr>
      <w:r>
        <w:t>标度律方面，应补齐不同附件所用验证集、tokenizer 和训练阶段信息，建立可核验的共同 Loss 锚；质量系数应通过配对的 Q—N—D—Loss 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pPr>
        <w:pStyle w:val="PaperBody"/>
        <w:widowControl/>
      </w:pPr>
      <w:r>
        <w:t>能力前沿方面，优先补充2025年3月以后的同口径逐任务评测和可核验训练 token。新的观测应分别用于时间外推检验、家族外检验以及规模贡献识别；当历史窗口足以覆盖12个月与24个月时，再用相同目标期限评估条件区间的实际覆盖。若榜单任务或筛选规则改变，应建立量尺连接，而不是把新旧分数直接拼接。</w:t>
      </w:r>
    </w:p>
    <w:p>
      <w:pPr>
        <w:pStyle w:val="PaperH2"/>
        <w:widowControl/>
      </w:pPr>
      <w:r>
        <w:t>8.2 模型的推广</w:t>
      </w:r>
    </w:p>
    <w:p>
      <w:pPr>
        <w:pStyle w:val="PaperBody"/>
        <w:widowControl/>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些步骤可以帮助组织可复核的比较，但具体权重、幂律系数和算力成本必须由新任务数据重新估计。</w:t>
      </w:r>
    </w:p>
    <w:p>
      <w:pPr>
        <w:pStyle w:val="PaperBody"/>
        <w:widowControl/>
      </w:pPr>
      <w:r>
        <w:t>就本题而言，22项质量信号构成有披露规则的评价分，局部配比模型支持1M范围内的响应比较，B1 曲面给出附件内部的规模—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pPr>
        <w:pStyle w:val="PaperBody"/>
        <w:widowControl/>
      </w:pPr>
      <w:r>
        <w:t>AI辅助使用说明：本文的证据核对、文字整合、排版及一致性检查代码使用 Codex 辅助；最终提交内容及历史工具记录由参赛队核对。</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pPr>
        <w:pStyle w:val="PaperH1"/>
        <w:widowControl/>
      </w:pPr>
      <w:r>
        <w:t>附录 A 完整质量信号处理</w:t>
      </w:r>
    </w:p>
    <w:p>
      <w:pPr>
        <w:pStyle w:val="PaperBody"/>
        <w:widowControl/>
      </w:pPr>
      <w:r>
        <w:t>表A1分别列出全部22项字段族的原始解释角色、进入 Q_full 的规则和使用限制。逐字段目标与权重以支撑表 Q_FULL_FIELD_CONTRACT_v1.csv 为准。22项均进入 W0 等权综合评分；但原始值并非都具有越大越好的含义，转换后的效用也不能直接充当已识别的训练质量效应。19条不完整记录以中性0.5暂补并报告覆盖数；列表原分量保留，域级分布和有效样本数在支撑表提供。</w:t>
      </w:r>
    </w:p>
    <w:p>
      <w:pPr>
        <w:pStyle w:val="PaperCaption"/>
        <w:keepNext/>
        <w:widowControl/>
      </w:pPr>
      <w:r>
        <w:t>表A1 22项信号的原始角色、Q_full处理与解释限制</w:t>
      </w:r>
    </w:p>
    <w:tbl>
      <w:tblPr>
        <w:tblW w:type="auto" w:w="0"/>
        <w:jc w:val="center"/>
        <w:tblLayout w:type="fixed"/>
        <w:tblLook w:firstColumn="1" w:firstRow="1" w:lastColumn="0" w:lastRow="0" w:noHBand="0" w:noVBand="1" w:val="04A0"/>
      </w:tblPr>
      <w:tblGrid>
        <w:gridCol w:w="2713"/>
        <w:gridCol w:w="1871"/>
        <w:gridCol w:w="2620"/>
        <w:gridCol w:w="2152"/>
      </w:tblGrid>
      <w:tr>
        <w:trPr>
          <w:cantSplit/>
          <w:tblHeader/>
        </w:trPr>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sz w:val="20"/>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原始含义及解释角色</w:t>
            </w:r>
          </w:p>
        </w:tc>
        <w:tc>
          <w:tcPr>
            <w:tcW w:type="dxa" w:w="262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Q_​full中的处理</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限制</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教育价值原评分</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标注描述；非训练因果证据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流畅与不流畅logit差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英语适用；非跨语言真值</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清洁等级的概率加权值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可读等级的概率加权值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推理复杂度等级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专业性等级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书籍目标域相似性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原始尺度未核，受长度混杂</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百科目标域相似性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数学目标域相似性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四项原始质量评级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四面向各取A1分位和参考目标接近效用，平均为1项计入W0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原四面向仍需分别解释</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无广告与有广告logit差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广告目标依赖用途和语言</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文档词数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文档句数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一元词分布熵</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熵基数未核；用途依赖</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不重复词比例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非字母词比例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代码等语料用途敏感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最高频二元组字符比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最高频三元组字符比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大写字母比例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语言及排版用途敏感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行尾终止标点比例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文体和用途敏感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数字字符比例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题材及用途敏感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平均词长</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语言及分词方式敏感</w:t>
            </w:r>
          </w:p>
        </w:tc>
      </w:tr>
    </w:tbl>
    <w:p>
      <w:pPr>
        <w:pStyle w:val="PaperH1"/>
        <w:widowControl/>
      </w:pPr>
      <w:r>
        <w:t>附录 B 逐领域验证</w:t>
      </w:r>
    </w:p>
    <w:p>
      <w:pPr>
        <w:pStyle w:val="PaperBody"/>
        <w:widowControl/>
      </w:pPr>
      <w:r>
        <w:t>表B1列出1M留出运行的全部13域原尺度RMSE，与图4和表4来自相同冻结预测。总体改善并未消除领域间误差差异。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配比模型以训练配比的正交坐标拟合各响应域，冻结参数后检验留出；跨规模只比较中心化形状，支持分类只用训练几何。质量参考、方向与权重不依赖留出 Loss。</w:t>
      </w:r>
    </w:p>
    <w:p>
      <w:pPr>
        <w:pStyle w:val="PaperBody"/>
        <w:widowControl/>
      </w:pPr>
      <w:r>
        <w:t>标度律采用轨迹等权的有界非线性最小二乘，保存验证索引并按整轨迹重抽样。资源基线用式（17）；质量情景固定 Q 消元，再检查端点与局部谷，保留失败起点。</w:t>
      </w:r>
    </w:p>
    <w:p>
      <w:pPr>
        <w:pStyle w:val="PaperBody"/>
        <w:widowControl/>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pPr>
        <w:pStyle w:val="PaperBody"/>
        <w:widowControl/>
      </w:pPr>
      <w:r>
        <w:t>模型参数与机器结果按冻结产物引用，计算用全精度，正文四舍五入；用印刷参数回代产生的末位差异不代表模型改变。</w:t>
      </w:r>
    </w:p>
    <w:p>
      <w:pPr>
        <w:pStyle w:val="PaperBody"/>
        <w:widowControl/>
      </w:pPr>
      <w:r>
        <w:t>支撑目录保留评分、外推、情景、图表及论文构建程序，列出源文件和机器输出 SHA256；既有 M1 与 Q2/Q3/Q4 脚本及摘要均保留。</w:t>
      </w:r>
    </w:p>
    <w:p>
      <w:pPr>
        <w:pStyle w:val="PaperBody"/>
        <w:widowControl/>
      </w:pPr>
      <w:r>
        <w:t>AI辅助使用说明：证据核对、文字整合、排版及一致性检查代码使用 Codex（当前会话模型标识 GPT-6，开发机构 OpenAI）辅助。模型版本发布日期未获独立核验；历史阶段工具版本与日期须由参赛队按原始记录补充。参赛队负责核对最终提交内容。</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 w:type="paragraph" w:customStyle="1" w:styleId="PaperTOC">
    <w:name w:val="PaperTOC"/>
    <w:pPr>
      <w:spacing w:line="240" w:lineRule="auto" w:after="20" w:before="0"/>
    </w:pPr>
    <w:rPr>
      <w:rFonts w:ascii="Times New Roman" w:hAnsi="Times New Roman" w:eastAsia="宋体"/>
      <w:b w:val="0"/>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算力约束下大语言模型的质量评价与资源配置及能力前沿预测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