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52" w:lineRule="auto"/>
        <w:jc w:val="left"/>
      </w:pPr>
      <w:r>
        <w:rPr>
          <w:rFonts w:ascii="Calibri" w:hAnsi="Calibri" w:eastAsia="Microsoft YaHei"/>
          <w:b/>
          <w:color w:val="173A5E"/>
          <w:sz w:val="42"/>
        </w:rPr>
        <w:t>RunningHub 多工作流智能生成工作台</w:t>
      </w:r>
    </w:p>
    <w:p>
      <w:pPr>
        <w:keepNext/>
        <w:spacing w:before="0" w:after="140" w:line="252" w:lineRule="auto"/>
        <w:jc w:val="left"/>
      </w:pPr>
      <w:r>
        <w:rPr>
          <w:rFonts w:ascii="Calibri" w:hAnsi="Calibri" w:eastAsia="Microsoft YaHei"/>
          <w:b w:val="0"/>
          <w:color w:val="66727E"/>
          <w:sz w:val="23"/>
        </w:rPr>
        <w:t>项目需求说明（简版）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504"/>
      </w:tblGrid>
      <w:tr>
        <w:tc>
          <w:tcPr>
            <w:tcW w:type="dxa" w:w="95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EAF5EF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/>
                <w:color w:val="237A57"/>
                <w:sz w:val="18"/>
              </w:rPr>
              <w:t>核心目标：把 RunningHub 上复杂的 ComfyUI 工作流封装成易用工作台。用户只需选择功能、上传素材和提交任务，无需看到节点图或手动操作工作流。基础工作台完整可用是第一优先级。</w:t>
            </w:r>
          </w:p>
        </w:tc>
      </w:tr>
    </w:tbl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一、基础工作台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1900"/>
        <w:gridCol w:w="7604"/>
      </w:tblGrid>
      <w:tr>
        <w:tc>
          <w:tcPr>
            <w:tcW w:type="dxa" w:w="190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模块</w:t>
            </w:r>
          </w:p>
        </w:tc>
        <w:tc>
          <w:tcPr>
            <w:tcW w:type="dxa" w:w="7604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主要功能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工作流中心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展示多个图片/视频工作流，支持分类、搜索和选择；未适配完成的功能不可提交。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素材上传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从电脑任意目录选择图片或视频，自动校验必填项并上传到工作流指定节点。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账号管理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添加多个 RunningHub 手机号，显示登录、过期、忙碌等状态；未完成登录的账号可以删除。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任务执行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自动选择空闲账号或使用指定账号；忙碌时排队，完成后自动执行下一任务。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任务中心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显示工作流名称、账号、创建时间、状态、耗时、错误原因和结果文件。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结果保存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按工作流配置保存图片或视频，只保存指定输出节点，避免下载错误结果。</w:t>
            </w:r>
          </w:p>
        </w:tc>
      </w:tr>
    </w:tbl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二、多工作流适配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  <w:t>上传、提交、等待、完成判断和保存结果做成统一函数；每个工作流只配置名称、工作流 ID、输入节点、输出节点、文件类型和保存动作。新增工作流后使用真实素材完整验证一次。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当前人物替换工作流：人物图节点 108、动作视频节点 112、输出只保留节点 119。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保存动作支持 Save Preview、Save Image、Save Video，由不同工作流分别配置。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工作流发布权限仍由 RunningHub 控制，执行账号必须拥有合法访问权限。</w:t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三、RunningHub 登录</w:t>
      </w:r>
    </w:p>
    <w:p>
      <w:pPr>
        <w:keepNext w:val="0"/>
        <w:spacing w:before="0" w:after="6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  <w:t>软件使用自己的登录弹窗。发送短信前需要完成 RunningHub 官方滑块，工作台只同步滑块验证区域，由用户手动拖动，不破解或绕过验证码。滑块通过后立即关闭官方画面，只保留本软件的短信验证码输入框，避免用户看到后面的原始网页。登录状态保存在本机。</w:t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四、软件授权与加密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使用数字签名许可证：发码端保存私钥，客户端只放公钥，用户不能自行伪造授权。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许可证绑定机器码，并限制允许设备数量，防止同一密钥直接复制给多人。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登录状态和授权缓存使用系统级加密保存；程序可增加打包、混淆和完整性校验。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正常用户看不到工作流 JSON 和节点图，但任何本地软件都不能承诺绝对无法破解。</w:t>
      </w:r>
    </w:p>
    <w:p>
      <w:r>
        <w:br w:type="page"/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五、有无服务器的激活方式区别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1650"/>
        <w:gridCol w:w="3877"/>
        <w:gridCol w:w="3977"/>
      </w:tblGrid>
      <w:tr>
        <w:tc>
          <w:tcPr>
            <w:tcW w:type="dxa" w:w="165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比较项</w:t>
            </w:r>
          </w:p>
        </w:tc>
        <w:tc>
          <w:tcPr>
            <w:tcW w:type="dxa" w:w="3877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无服务器授权</w:t>
            </w:r>
          </w:p>
        </w:tc>
        <w:tc>
          <w:tcPr>
            <w:tcW w:type="dxa" w:w="3977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有服务器会员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适合场景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客户少、永久授权、接受人工处理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月卡/季卡、续费、设备管理和长期运营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激活方式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客户先提供机器码，再生成该设备专用许可证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用户输入卡密，服务器首次激活时绑定设备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包月使用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许可证写到期日；续费需要重新发码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后台延长到期时间，用户通常无需重新激活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设备限制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生成时固定设备，换机需重新发码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可限制设备数，并在后台解绑或换绑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封禁与撤销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发出后难以远程撤销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可实时禁用、恢复或封禁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时间安全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可能受到修改系统时间影响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以服务器时间为准，更可靠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离线使用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完全离线可用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可设置 1-7 天离线宽限期</w:t>
            </w:r>
          </w:p>
        </w:tc>
      </w:tr>
      <w:tr>
        <w:tc>
          <w:tcPr>
            <w:tcW w:type="dxa" w:w="1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成本</w:t>
            </w:r>
          </w:p>
        </w:tc>
        <w:tc>
          <w:tcPr>
            <w:tcW w:type="dxa" w:w="38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开发和维护成本较低</w:t>
            </w:r>
          </w:p>
        </w:tc>
        <w:tc>
          <w:tcPr>
            <w:tcW w:type="dxa" w:w="397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6"/>
              </w:rPr>
              <w:t>需要服务器、域名、HTTPS、数据库和维护</w:t>
            </w:r>
          </w:p>
        </w:tc>
      </w:tr>
    </w:tbl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504"/>
      </w:tblGrid>
      <w:tr>
        <w:tc>
          <w:tcPr>
            <w:tcW w:type="dxa" w:w="95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EAF5EF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/>
                <w:color w:val="237A57"/>
                <w:sz w:val="18"/>
              </w:rPr>
              <w:t>建议：只销售少量永久授权可选无服务器方案；需要包月、续费、封禁、换机和统一管理时，应直接选择服务器方案。纯离线方案无法可靠实现严格包月和实时控制。</w:t>
            </w:r>
          </w:p>
        </w:tc>
      </w:tr>
    </w:tbl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六、包月会员使用方式（服务器方案）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客户直接向运营方付款，运营方在后台创建月卡、季卡、年卡或永久卡并发送卡密，不包含在线支付。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用户首次输入卡密后绑定设备；软件启动时及每 12-24 小时验证一次，建议设置 3 天离线宽限。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续费时后台延长原授权；到期后禁止新建任务，但不删除本地历史和已经生成的结果。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后台基础功能：创建卡密、查看状态、续期、禁用、恢复、设备解绑及操作记录。</w:t>
      </w:r>
    </w:p>
    <w:p>
      <w:pPr>
        <w:keepNext w:val="0"/>
        <w:spacing w:before="0" w:after="80" w:line="252" w:lineRule="auto"/>
        <w:jc w:val="left"/>
      </w:pPr>
      <w:r>
        <w:rPr>
          <w:rFonts w:ascii="Calibri" w:hAnsi="Calibri" w:eastAsia="Microsoft YaHei"/>
          <w:b/>
          <w:color w:val="173A5E"/>
          <w:sz w:val="17"/>
        </w:rPr>
        <w:t>说明：软件会员只控制本工作台的使用权，不包含 RunningHub 会员、RH 币、算力或其他平台费用。</w:t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七、基础版本交付与验收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工作台可正常启动，账号登录、任意目录上传、工作流选择、任务排队、状态查看和结果保存链路完整。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每个适配工作流使用真实素材验证输入节点、唯一输出节点、保存方式和结果可用性。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登录滑块拖动流畅；验证后不显示 RunningHub 原网页，本软件验证码框保持打开。</w:t>
      </w:r>
    </w:p>
    <w:p>
      <w:pPr>
        <w:pStyle w:val="ListBullet"/>
        <w:spacing w:after="30" w:line="245" w:lineRule="auto"/>
        <w:ind w:left="317" w:hanging="230"/>
      </w:pPr>
      <w:r>
        <w:rPr>
          <w:rFonts w:ascii="Calibri" w:hAnsi="Calibri" w:eastAsia="Microsoft YaHei"/>
          <w:b w:val="0"/>
          <w:color w:val="20252B"/>
          <w:sz w:val="18"/>
        </w:rPr>
        <w:t>授权功能按照最终选定的离线或服务器方案验收；已有本地结果不因到期或删除账号而丢失。</w:t>
      </w:r>
    </w:p>
    <w:p>
      <w:pPr>
        <w:keepNext/>
        <w:spacing w:before="140" w:after="60" w:line="252" w:lineRule="auto"/>
        <w:jc w:val="left"/>
      </w:pPr>
      <w:r>
        <w:rPr>
          <w:rFonts w:ascii="Calibri" w:hAnsi="Calibri" w:eastAsia="Microsoft YaHei"/>
          <w:b/>
          <w:color w:val="2E74B5"/>
          <w:sz w:val="24"/>
        </w:rPr>
        <w:t>八、客户需确认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8DEE5"/>
          <w:left w:val="single" w:sz="5" w:color="D8DEE5"/>
          <w:bottom w:val="single" w:sz="5" w:color="D8DEE5"/>
          <w:right w:val="single" w:sz="5" w:color="D8DEE5"/>
          <w:insideH w:val="single" w:sz="5" w:color="D8DEE5"/>
          <w:insideV w:val="single" w:sz="5" w:color="D8DEE5"/>
        </w:tblBorders>
      </w:tblPr>
      <w:tblGrid>
        <w:gridCol w:w="1900"/>
        <w:gridCol w:w="7604"/>
      </w:tblGrid>
      <w:tr>
        <w:tc>
          <w:tcPr>
            <w:tcW w:type="dxa" w:w="1900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确认项</w:t>
            </w:r>
          </w:p>
        </w:tc>
        <w:tc>
          <w:tcPr>
            <w:tcW w:type="dxa" w:w="7604"/>
            <w:shd w:fill="E8EEF5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A5E"/>
                <w:sz w:val="17"/>
              </w:rPr>
              <w:t>需要提供/决定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工作流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首批工作流清单、优先级、展示名称、有效测试素材及唯一输出节点。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授权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无服务器永久授权，或带服务器的月卡/季卡/永久卡。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会员规则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允许设备数、离线宽限、换机次数、到期处理和是否提供试用。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平台权限</w:t>
            </w:r>
          </w:p>
        </w:tc>
        <w:tc>
          <w:tcPr>
            <w:tcW w:type="dxa" w:w="76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确认执行账号能够访问已发布或已授权的 RunningHub 工作流。</w:t>
            </w:r>
          </w:p>
        </w:tc>
      </w:tr>
    </w:tbl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504"/>
      </w:tblGrid>
      <w:tr>
        <w:tc>
          <w:tcPr>
            <w:tcW w:type="dxa" w:w="9504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  <w:shd w:fill="EAF5EF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b/>
                <w:color w:val="237A57"/>
                <w:sz w:val="18"/>
              </w:rPr>
              <w:t>实施顺序：先保证基础工作台稳定完整，再批量适配工作流，最后接入选定的授权方案。在线支付、复杂代理体系、云素材库等不纳入基础版本。</w:t>
            </w:r>
          </w:p>
        </w:tc>
      </w:tr>
    </w:tbl>
    <w:p>
      <w:pPr>
        <w:keepNext w:val="0"/>
        <w:spacing w:before="0" w:after="0" w:line="252" w:lineRule="auto"/>
        <w:jc w:val="left"/>
      </w:pPr>
      <w:r>
        <w:rPr>
          <w:rFonts w:ascii="Calibri" w:hAnsi="Calibri" w:eastAsia="Microsoft YaHei"/>
          <w:b w:val="0"/>
          <w:color w:val="20252B"/>
          <w:sz w:val="19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color w:val="66727E"/>
        <w:sz w:val="15"/>
      </w:rPr>
      <w:t>客户需求确认稿｜2026-08-13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66727E"/>
        <w:sz w:val="15"/>
      </w:rPr>
      <w:t>RunningHub 多工作流智能生成工作台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RunningHub 多工作流智能生成工作台项目需求说明（简版）</dc:title>
  <dc:subject>工作台、多工作流、授权与包月会员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