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微软雅黑"/>
          <w:b/>
          <w:color w:val="003366"/>
          <w:sz w:val="48"/>
        </w:rPr>
        <w:t>职业生涯发展报告 - 董俊毅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一、学生基本信息</w:t>
      </w:r>
    </w:p>
    <w:p>
      <w:pPr>
        <w:shd w:val="clear" w:color="auto" w:fill="E0F2FE"/>
      </w:pPr>
      <w:r>
        <w:rPr>
          <w:rFonts w:ascii="Times New Roman" w:hAnsi="Times New Roman" w:eastAsia="楷体"/>
          <w:sz w:val="24"/>
        </w:rPr>
        <w:t>姓名：董俊毅</w:t>
        <w:br/>
        <w:t>学历：本科</w:t>
        <w:br/>
        <w:t>专业：计算机科学与技术</w:t>
        <w:br/>
        <w:t>技能：Java, Python, SpringBoot, MyBatis, HTML, CSS, JavaScript, Vue, MySQL, Git</w:t>
        <w:br/>
        <w:t>证书：</w:t>
        <w:br/>
        <w:t>综合竞争力评分：65分</w:t>
        <w:br/>
        <w:t>评分理由：具备扎实的技术基础和一定的组织能力，但缺乏项目、竞赛和证书等关键竞争力要素，综合竞争力中等。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二、人岗匹配分析</w:t>
      </w:r>
    </w:p>
    <w:p>
      <w:pPr>
        <w:shd w:val="clear" w:color="auto" w:fill="FFEDD5"/>
      </w:pPr>
      <w:r>
        <w:rPr>
          <w:rFonts w:ascii="Times New Roman" w:hAnsi="Times New Roman" w:eastAsia="楷体"/>
          <w:sz w:val="24"/>
        </w:rPr>
        <w:t>目标岗位：软件测试</w:t>
        <w:br/>
        <w:t>综合匹配度：90.7%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维度</w:t>
            </w:r>
          </w:p>
        </w:tc>
        <w:tc>
          <w:tcPr>
            <w:tcW w:type="dxa" w:w="5400"/>
          </w:tcPr>
          <w:p>
            <w:r>
              <w:t>匹配度</w:t>
            </w:r>
          </w:p>
        </w:tc>
      </w:tr>
      <w:tr>
        <w:tc>
          <w:tcPr>
            <w:tcW w:type="dxa" w:w="5400"/>
          </w:tcPr>
          <w:p>
            <w:r>
              <w:t>基础要求</w:t>
            </w:r>
          </w:p>
        </w:tc>
        <w:tc>
          <w:tcPr>
            <w:tcW w:type="dxa" w:w="5400"/>
          </w:tcPr>
          <w:p>
            <w:r>
              <w:t>70.0%</w:t>
            </w:r>
          </w:p>
        </w:tc>
      </w:tr>
      <w:tr>
        <w:tc>
          <w:tcPr>
            <w:tcW w:type="dxa" w:w="5400"/>
          </w:tcPr>
          <w:p>
            <w:r>
              <w:t>职业技能</w:t>
            </w:r>
          </w:p>
        </w:tc>
        <w:tc>
          <w:tcPr>
            <w:tcW w:type="dxa" w:w="5400"/>
          </w:tcPr>
          <w:p>
            <w:r>
              <w:t>100.0%</w:t>
            </w:r>
          </w:p>
        </w:tc>
      </w:tr>
      <w:tr>
        <w:tc>
          <w:tcPr>
            <w:tcW w:type="dxa" w:w="5400"/>
          </w:tcPr>
          <w:p>
            <w:r>
              <w:t>职业素养</w:t>
            </w:r>
          </w:p>
        </w:tc>
        <w:tc>
          <w:tcPr>
            <w:tcW w:type="dxa" w:w="5400"/>
          </w:tcPr>
          <w:p>
            <w:r>
              <w:t>92.5%</w:t>
            </w:r>
          </w:p>
        </w:tc>
      </w:tr>
      <w:tr>
        <w:tc>
          <w:tcPr>
            <w:tcW w:type="dxa" w:w="5400"/>
          </w:tcPr>
          <w:p>
            <w:r>
              <w:t>发展潜力</w:t>
            </w:r>
          </w:p>
        </w:tc>
        <w:tc>
          <w:tcPr>
            <w:tcW w:type="dxa" w:w="5400"/>
          </w:tcPr>
          <w:p>
            <w:r>
              <w:t>90.0%</w:t>
            </w:r>
          </w:p>
        </w:tc>
      </w:tr>
      <w:tr>
        <w:tc>
          <w:tcPr>
            <w:tcW w:type="dxa" w:w="5400"/>
          </w:tcPr>
          <w:p>
            <w:r>
              <w:t>技能匹配</w:t>
            </w:r>
          </w:p>
        </w:tc>
        <w:tc>
          <w:tcPr>
            <w:tcW w:type="dxa" w:w="5400"/>
          </w:tcPr>
          <w:p>
            <w:r>
              <w:t>100.0%</w:t>
            </w:r>
          </w:p>
        </w:tc>
      </w:tr>
      <w:tr>
        <w:tc>
          <w:tcPr>
            <w:tcW w:type="dxa" w:w="5400"/>
          </w:tcPr>
          <w:p>
            <w:r>
              <w:t>证书匹配</w:t>
            </w:r>
          </w:p>
        </w:tc>
        <w:tc>
          <w:tcPr>
            <w:tcW w:type="dxa" w:w="5400"/>
          </w:tcPr>
          <w:p>
            <w:r>
              <w:t>100.0%</w:t>
            </w:r>
          </w:p>
        </w:tc>
      </w:tr>
      <w:tr>
        <w:tc>
          <w:tcPr>
            <w:tcW w:type="dxa" w:w="5400"/>
          </w:tcPr>
          <w:p>
            <w:r>
              <w:t>创新匹配</w:t>
            </w:r>
          </w:p>
        </w:tc>
        <w:tc>
          <w:tcPr>
            <w:tcW w:type="dxa" w:w="5400"/>
          </w:tcPr>
          <w:p>
            <w:r>
              <w:t>98.7%</w:t>
            </w:r>
          </w:p>
        </w:tc>
      </w:tr>
      <w:tr>
        <w:tc>
          <w:tcPr>
            <w:tcW w:type="dxa" w:w="5400"/>
          </w:tcPr>
          <w:p>
            <w:r>
              <w:t>学习匹配</w:t>
            </w:r>
          </w:p>
        </w:tc>
        <w:tc>
          <w:tcPr>
            <w:tcW w:type="dxa" w:w="5400"/>
          </w:tcPr>
          <w:p>
            <w:r>
              <w:t>85.0%</w:t>
            </w:r>
          </w:p>
        </w:tc>
      </w:tr>
      <w:tr>
        <w:tc>
          <w:tcPr>
            <w:tcW w:type="dxa" w:w="5400"/>
          </w:tcPr>
          <w:p>
            <w:r>
              <w:t>抗压匹配</w:t>
            </w:r>
          </w:p>
        </w:tc>
        <w:tc>
          <w:tcPr>
            <w:tcW w:type="dxa" w:w="5400"/>
          </w:tcPr>
          <w:p>
            <w:r>
              <w:t>87.4%</w:t>
            </w:r>
          </w:p>
        </w:tc>
      </w:tr>
      <w:tr>
        <w:tc>
          <w:tcPr>
            <w:tcW w:type="dxa" w:w="5400"/>
          </w:tcPr>
          <w:p>
            <w:r>
              <w:t>沟通匹配</w:t>
            </w:r>
          </w:p>
        </w:tc>
        <w:tc>
          <w:tcPr>
            <w:tcW w:type="dxa" w:w="5400"/>
          </w:tcPr>
          <w:p>
            <w:r>
              <w:t>98.9%</w:t>
            </w:r>
          </w:p>
        </w:tc>
      </w:tr>
      <w:tr>
        <w:tc>
          <w:tcPr>
            <w:tcW w:type="dxa" w:w="5400"/>
          </w:tcPr>
          <w:p>
            <w:r>
              <w:t>学历匹配</w:t>
            </w:r>
          </w:p>
        </w:tc>
        <w:tc>
          <w:tcPr>
            <w:tcW w:type="dxa" w:w="5400"/>
          </w:tcPr>
          <w:p>
            <w:r>
              <w:t>100.0%</w:t>
            </w:r>
          </w:p>
        </w:tc>
      </w:tr>
      <w:tr>
        <w:tc>
          <w:tcPr>
            <w:tcW w:type="dxa" w:w="5400"/>
          </w:tcPr>
          <w:p>
            <w:r>
              <w:t>专业匹配</w:t>
            </w:r>
          </w:p>
        </w:tc>
        <w:tc>
          <w:tcPr>
            <w:tcW w:type="dxa" w:w="5400"/>
          </w:tcPr>
          <w:p>
            <w:r>
              <w:t>0.0%</w:t>
            </w:r>
          </w:p>
        </w:tc>
      </w:tr>
      <w:tr>
        <w:tc>
          <w:tcPr>
            <w:tcW w:type="dxa" w:w="5400"/>
          </w:tcPr>
          <w:p>
            <w:r>
              <w:t>经验匹配</w:t>
            </w:r>
          </w:p>
        </w:tc>
        <w:tc>
          <w:tcPr>
            <w:tcW w:type="dxa" w:w="5400"/>
          </w:tcPr>
          <w:p>
            <w:r>
              <w:t>100.0%</w:t>
            </w:r>
          </w:p>
        </w:tc>
      </w:tr>
      <w:tr>
        <w:tc>
          <w:tcPr>
            <w:tcW w:type="dxa" w:w="5400"/>
          </w:tcPr>
          <w:p>
            <w:r>
              <w:t>语言匹配</w:t>
            </w:r>
          </w:p>
        </w:tc>
        <w:tc>
          <w:tcPr>
            <w:tcW w:type="dxa" w:w="5400"/>
          </w:tcPr>
          <w:p>
            <w:r>
              <w:t>100.0%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138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38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三、职业目标与路径规划</w:t>
      </w:r>
    </w:p>
    <w:p>
      <w:pPr>
        <w:shd w:val="clear" w:color="auto" w:fill="DBEAFE"/>
        <w:pBdr>
          <w:left w:val="single" w:sz="12" w:color="3B82F6"/>
        </w:pBdr>
      </w:pPr>
      <w:r>
        <w:rPr>
          <w:rFonts w:ascii="Times New Roman" w:hAnsi="Times New Roman" w:eastAsia="楷体"/>
          <w:sz w:val="24"/>
        </w:rPr>
        <w:t>推荐职业目标：软件测试</w:t>
      </w:r>
    </w:p>
    <w:p>
      <w:pPr>
        <w:shd w:val="clear" w:color="auto" w:fill="DCFCE7"/>
        <w:pBdr>
          <w:left w:val="single" w:sz="12" w:color="10B981"/>
        </w:pBdr>
      </w:pPr>
      <w:r>
        <w:rPr>
          <w:rFonts w:ascii="Times New Roman" w:hAnsi="Times New Roman" w:eastAsia="楷体"/>
          <w:sz w:val="24"/>
        </w:rPr>
        <w:t>晋升路径：高级软件测试工程师 → 测试经理 → 质量保障总监</w:t>
      </w:r>
    </w:p>
    <w:p>
      <w:pPr>
        <w:shd w:val="clear" w:color="auto" w:fill="FEF3C7"/>
        <w:pBdr>
          <w:left w:val="single" w:sz="12" w:color="F59E0B"/>
        </w:pBdr>
      </w:pPr>
      <w:r>
        <w:rPr>
          <w:rFonts w:ascii="Times New Roman" w:hAnsi="Times New Roman" w:eastAsia="楷体"/>
          <w:sz w:val="24"/>
        </w:rPr>
        <w:t>横向换岗路径：DevOps工程师、自动化测试工程师、软件开发工程师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四、区域机会分析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区域</w:t>
            </w:r>
          </w:p>
        </w:tc>
        <w:tc>
          <w:tcPr>
            <w:tcW w:type="dxa" w:w="2700"/>
          </w:tcPr>
          <w:p>
            <w:r>
              <w:t>招聘数量</w:t>
            </w:r>
          </w:p>
        </w:tc>
        <w:tc>
          <w:tcPr>
            <w:tcW w:type="dxa" w:w="2700"/>
          </w:tcPr>
          <w:p>
            <w:r>
              <w:t>平均薪资(K)</w:t>
            </w:r>
          </w:p>
        </w:tc>
        <w:tc>
          <w:tcPr>
            <w:tcW w:type="dxa" w:w="2700"/>
          </w:tcPr>
          <w:p>
            <w:r>
              <w:t>主要城市</w:t>
            </w:r>
          </w:p>
        </w:tc>
      </w:tr>
      <w:tr>
        <w:tc>
          <w:tcPr>
            <w:tcW w:type="dxa" w:w="2700"/>
            <w:shd w:fill="FFF7ED"/>
          </w:tcPr>
          <w:p>
            <w:r>
              <w:t>西部</w:t>
            </w:r>
          </w:p>
        </w:tc>
        <w:tc>
          <w:tcPr>
            <w:tcW w:type="dxa" w:w="2700"/>
            <w:shd w:fill="FFF7ED"/>
          </w:tcPr>
          <w:p>
            <w:r>
              <w:t>106</w:t>
            </w:r>
          </w:p>
        </w:tc>
        <w:tc>
          <w:tcPr>
            <w:tcW w:type="dxa" w:w="2700"/>
            <w:shd w:fill="FFF7ED"/>
          </w:tcPr>
          <w:p>
            <w:r>
              <w:t>7.2 - 10.6K</w:t>
            </w:r>
          </w:p>
        </w:tc>
        <w:tc>
          <w:tcPr>
            <w:tcW w:type="dxa" w:w="2700"/>
            <w:shd w:fill="FFF7ED"/>
          </w:tcPr>
          <w:p>
            <w:r>
              <w:t>西安-雁塔区, 重庆-渝北区, 成都-锦江区</w:t>
            </w:r>
          </w:p>
        </w:tc>
      </w:tr>
      <w:tr>
        <w:tc>
          <w:tcPr>
            <w:tcW w:type="dxa" w:w="2700"/>
            <w:shd w:fill="F0FDFA"/>
          </w:tcPr>
          <w:p>
            <w:r>
              <w:t>东部</w:t>
            </w:r>
          </w:p>
        </w:tc>
        <w:tc>
          <w:tcPr>
            <w:tcW w:type="dxa" w:w="2700"/>
            <w:shd w:fill="F0FDFA"/>
          </w:tcPr>
          <w:p>
            <w:r>
              <w:t>182</w:t>
            </w:r>
          </w:p>
        </w:tc>
        <w:tc>
          <w:tcPr>
            <w:tcW w:type="dxa" w:w="2700"/>
            <w:shd w:fill="F0FDFA"/>
          </w:tcPr>
          <w:p>
            <w:r>
              <w:t>8.3 - 13.0K</w:t>
            </w:r>
          </w:p>
        </w:tc>
        <w:tc>
          <w:tcPr>
            <w:tcW w:type="dxa" w:w="2700"/>
            <w:shd w:fill="F0FDFA"/>
          </w:tcPr>
          <w:p>
            <w:r>
              <w:t>深圳-龙岗区, 北京-海淀区, 深圳-南山区</w:t>
            </w:r>
          </w:p>
        </w:tc>
      </w:tr>
      <w:tr>
        <w:tc>
          <w:tcPr>
            <w:tcW w:type="dxa" w:w="2700"/>
            <w:shd w:fill="FAF5FF"/>
          </w:tcPr>
          <w:p>
            <w:r>
              <w:t>中部</w:t>
            </w:r>
          </w:p>
        </w:tc>
        <w:tc>
          <w:tcPr>
            <w:tcW w:type="dxa" w:w="2700"/>
            <w:shd w:fill="FAF5FF"/>
          </w:tcPr>
          <w:p>
            <w:r>
              <w:t>67</w:t>
            </w:r>
          </w:p>
        </w:tc>
        <w:tc>
          <w:tcPr>
            <w:tcW w:type="dxa" w:w="2700"/>
            <w:shd w:fill="FAF5FF"/>
          </w:tcPr>
          <w:p>
            <w:r>
              <w:t>7.3 - 11.1K</w:t>
            </w:r>
          </w:p>
        </w:tc>
        <w:tc>
          <w:tcPr>
            <w:tcW w:type="dxa" w:w="2700"/>
            <w:shd w:fill="FAF5FF"/>
          </w:tcPr>
          <w:p>
            <w:r>
              <w:t>郑州-管城回族区, 郑州-金水区, 南昌-红谷滩区</w:t>
            </w:r>
          </w:p>
        </w:tc>
      </w:tr>
      <w:tr>
        <w:tc>
          <w:tcPr>
            <w:tcW w:type="dxa" w:w="2700"/>
            <w:shd w:fill="FDF2F8"/>
          </w:tcPr>
          <w:p>
            <w:r>
              <w:t>东北</w:t>
            </w:r>
          </w:p>
        </w:tc>
        <w:tc>
          <w:tcPr>
            <w:tcW w:type="dxa" w:w="2700"/>
            <w:shd w:fill="FDF2F8"/>
          </w:tcPr>
          <w:p>
            <w:r>
              <w:t>22</w:t>
            </w:r>
          </w:p>
        </w:tc>
        <w:tc>
          <w:tcPr>
            <w:tcW w:type="dxa" w:w="2700"/>
            <w:shd w:fill="FDF2F8"/>
          </w:tcPr>
          <w:p>
            <w:r>
              <w:t>6.2 - 8.8K</w:t>
            </w:r>
          </w:p>
        </w:tc>
        <w:tc>
          <w:tcPr>
            <w:tcW w:type="dxa" w:w="2700"/>
            <w:shd w:fill="FDF2F8"/>
          </w:tcPr>
          <w:p>
            <w:r>
              <w:t>大连-甘井子区, 沈阳-浑南区, 哈尔滨-南岗区</w:t>
            </w:r>
          </w:p>
        </w:tc>
      </w:tr>
    </w:tbl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五、差距分析</w:t>
      </w:r>
    </w:p>
    <w:p>
      <w:pPr>
        <w:shd w:val="clear" w:color="auto" w:fill="F1F5F9"/>
      </w:pPr>
      <w:r>
        <w:rPr>
          <w:rFonts w:ascii="Times New Roman" w:hAnsi="Times New Roman" w:eastAsia="楷体"/>
          <w:sz w:val="24"/>
        </w:rPr>
        <w:t>学生能力与岗位要求基本匹配，但仍需在细节上进一步优化。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六、PDCA发展计划</w:t>
      </w:r>
    </w:p>
    <w:p>
      <w:pPr>
        <w:shd w:val="clear" w:color="auto" w:fill="F0F9FF"/>
        <w:pBdr>
          <w:left w:val="single" w:sz="12" w:color="3B82F6"/>
        </w:pBdr>
      </w:pPr>
      <w:r>
        <w:rPr>
          <w:rFonts w:ascii="Times New Roman" w:hAnsi="Times New Roman" w:eastAsia="楷体"/>
          <w:sz w:val="24"/>
        </w:rPr>
        <w:t>Plan：</w:t>
        <w:br/>
        <w:t>1. 职业目标：获得软件测试岗位的offer</w:t>
        <w:br/>
        <w:t>2. 学术/技能目标：掌握软件测试相关知识，提升测试工具使用能力，熟悉测试流程和方法论</w:t>
        <w:br/>
        <w:t>3. 平台/资源：参与测试社区，关注招聘网站，积累测试项目经验</w:t>
        <w:br/>
        <w:t>4. 个人能力提升目标：提高创新能力至4/5，增强沟通能力至4/5，提升抗压能力至4/5</w:t>
      </w:r>
    </w:p>
    <w:p>
      <w:pPr>
        <w:shd w:val="clear" w:color="auto" w:fill="F0FDF4"/>
        <w:pBdr>
          <w:left w:val="single" w:sz="12" w:color="10B981"/>
        </w:pBdr>
      </w:pPr>
      <w:r>
        <w:rPr>
          <w:rFonts w:ascii="Times New Roman" w:hAnsi="Times New Roman" w:eastAsia="楷体"/>
          <w:sz w:val="24"/>
        </w:rPr>
        <w:t>Do：</w:t>
        <w:br/>
        <w:t>1. 具体行动1：学习软件测试基础理论，包括黑盒测试、白盒测试、测试用例设计等</w:t>
        <w:br/>
        <w:t>2. 具体行动2：学习自动化测试工具如Postman、Selenium、JMeter等</w:t>
        <w:br/>
        <w:t>3. 具体行动3：参与开源测试项目或模拟测试任务，积累实际测试经验</w:t>
        <w:br/>
        <w:t>4. 具体行动4：准备软件测试相关的简历，突出实习经历与技术能力</w:t>
        <w:br/>
        <w:t>5. 具体行动5：每周参加一次测试相关的线上讲座或课程，保持学习节奏</w:t>
      </w:r>
    </w:p>
    <w:p>
      <w:pPr>
        <w:shd w:val="clear" w:color="auto" w:fill="FEFCE8"/>
        <w:pBdr>
          <w:left w:val="single" w:sz="12" w:color="F59E0B"/>
        </w:pBdr>
      </w:pPr>
      <w:r>
        <w:rPr>
          <w:rFonts w:ascii="Times New Roman" w:hAnsi="Times New Roman" w:eastAsia="楷体"/>
          <w:sz w:val="24"/>
        </w:rPr>
        <w:t>Check：</w:t>
        <w:br/>
        <w:t>1. 评估周期：每两周进行一次进度检查</w:t>
        <w:br/>
        <w:t>2. 评估指标：测试工具掌握程度、测试项目完成情况、简历优化效果</w:t>
        <w:br/>
        <w:t>3. 偏差识别：分析学习进度滞后或技能掌握不熟练的原因，如时间管理不当或学习方法问题</w:t>
      </w:r>
    </w:p>
    <w:p>
      <w:pPr>
        <w:shd w:val="clear" w:color="auto" w:fill="F5F3FF"/>
        <w:pBdr>
          <w:left w:val="single" w:sz="12" w:color="8B5CF6"/>
        </w:pBdr>
      </w:pPr>
      <w:r>
        <w:rPr>
          <w:rFonts w:ascii="Times New Roman" w:hAnsi="Times New Roman" w:eastAsia="楷体"/>
          <w:sz w:val="24"/>
        </w:rPr>
        <w:t>Act：</w:t>
        <w:br/>
        <w:t>1. 备选方案：若短期内未找到合适工作，考虑先从事相关岗位如技术支持或开发辅助工作</w:t>
        <w:br/>
        <w:t>2. 资源补充：寻求行业前辈或导师的指导，获取测试岗位的面试建议和实战经验</w:t>
        <w:br/>
        <w:t>3. 调整计划：根据评估结果调整学习重点，如加强自动化测试或测试框架的学习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七、岗位调动建议</w:t>
      </w:r>
    </w:p>
    <w:p>
      <w:pPr>
        <w:shd w:val="clear" w:color="auto" w:fill="F8FAFC"/>
      </w:pPr>
      <w:r>
        <w:rPr>
          <w:rFonts w:ascii="Times New Roman" w:hAnsi="Times New Roman" w:eastAsia="楷体"/>
          <w:sz w:val="24"/>
        </w:rPr>
        <w:t>学生目前具备扎实的编程基础和一定的项目经验 适合向软件测试方向转型。为了实现职业发展目标 需要从技能提升、证书考取、项目积累和人脉拓展等方面入手。</w:t>
      </w:r>
    </w:p>
    <w:p>
      <w:pPr>
        <w:shd w:val="clear" w:color="auto" w:fill="DCFCE7"/>
        <w:pBdr>
          <w:left w:val="single" w:sz="12" w:color="4ADE80"/>
        </w:pBdr>
      </w:pPr>
      <w:r>
        <w:rPr>
          <w:rFonts w:ascii="Times New Roman" w:hAnsi="Times New Roman" w:eastAsia="楷体"/>
          <w:sz w:val="24"/>
        </w:rPr>
        <w:t xml:space="preserve">1. 如何晋升到更高岗位  </w:t>
        <w:br/>
        <w:t>首先需要掌握软件测试相关的专业知识 包括测试理论 测试流程 测试用例设计以及缺陷管理工具的使用。建议学习自动化测试框架如 Selenium 或 Postman 并掌握持续集成工具如 Jenkins。同时需要了解性能测试和安全测试的基本概念。在证书方面 可以考取 ISTQB 软件测试认证以增强专业性。积累项目经验时 应主动参与测试相关的工作 主动承担测试任务 提高对测试流程的理解。此外 还应提升沟通能力和团队协作能力 为将来担任测试经理或质量保障总监打下基础。</w:t>
      </w:r>
    </w:p>
    <w:p>
      <w:pPr>
        <w:shd w:val="clear" w:color="auto" w:fill="FEF3C7"/>
        <w:pBdr>
          <w:left w:val="single" w:sz="12" w:color="FBBF24"/>
        </w:pBdr>
      </w:pPr>
      <w:r>
        <w:rPr>
          <w:rFonts w:ascii="Times New Roman" w:hAnsi="Times New Roman" w:eastAsia="楷体"/>
          <w:sz w:val="24"/>
        </w:rPr>
        <w:t xml:space="preserve">2. 如何转换到相关岗位  </w:t>
        <w:br/>
        <w:t>如果希望转向 DevOps 工程师 自学 CI/CD 相关知识 掌握 Docker 和 Kubernetes 等容器化技术 同时熟悉 Linux 系统和网络配置。若想转为自动化测试工程师 则需深入学习 Python 编程并掌握自动化测试框架如 Pytest 或 Robot Framework。若考虑转为软件开发工程师 则需要进一步提升 Java 和 Python 的开发能力 学习设计模式和架构设计原则。在项目方面 可以通过参与开源项目或自己搭建小型项目来积累实战经验。同时积极参加行业交流活动 拓展人脉资源 与业内人士建立联系 有助于未来的职业发展。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八、学习资源推荐</w:t>
      </w:r>
    </w:p>
    <w:p>
      <w:pPr>
        <w:shd w:val="clear" w:color="auto" w:fill="F8FAFC"/>
      </w:pPr>
      <w:r>
        <w:rPr>
          <w:rFonts w:ascii="Times New Roman" w:hAnsi="Times New Roman" w:eastAsia="楷体"/>
          <w:sz w:val="24"/>
        </w:rPr>
        <w:t>您的能力与岗位要求基本匹配，建议通过项目实践进一步提升综合能力。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九、评估周期与动态调整</w:t>
      </w:r>
    </w:p>
    <w:p>
      <w:pPr>
        <w:shd w:val="clear" w:color="auto" w:fill="F1F5F9"/>
      </w:pPr>
      <w:r>
        <w:rPr>
          <w:rFonts w:ascii="Times New Roman" w:hAnsi="Times New Roman" w:eastAsia="楷体"/>
          <w:sz w:val="24"/>
        </w:rPr>
        <w:t>建议每3-6个月进行一次自我评估，根据学习进度和行业变化调整计划。</w:t>
      </w:r>
    </w:p>
    <w:p/>
    <w:p>
      <w:pPr>
        <w:jc w:val="center"/>
      </w:pPr>
      <w:r>
        <w:rPr>
          <w:rFonts w:ascii="Times New Roman" w:hAnsi="Times New Roman" w:eastAsia="楷体"/>
          <w:i/>
          <w:color w:val="808080"/>
          <w:sz w:val="20"/>
        </w:rPr>
        <w:t>内容由AI生成，请仔细甄别</w:t>
      </w:r>
    </w:p>
    <w:sectPr w:rsidR="00FC693F" w:rsidRPr="0006063C" w:rsidSect="00034616">
      <w:headerReference w:type="default" r:id="rId9"/>
      <w:pgSz w:w="12240" w:h="15840"/>
      <w:pgMar w:top="720" w:right="720" w:bottom="720" w:left="720" w:header="227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640" w:val="right"/>
      </w:tabs>
    </w:pPr>
    <w:r>
      <w:rPr>
        <w:rFonts w:ascii="Times New Roman" w:hAnsi="Times New Roman" w:eastAsia="微软雅黑"/>
        <w:sz w:val="20"/>
      </w:rPr>
      <w:t>「智途」— 你的私人职业规划助手</w:t>
    </w:r>
    <w:r>
      <w:tab/>
    </w:r>
    <w:r>
      <w:rPr>
        <w:rFonts w:ascii="Times New Roman" w:hAnsi="Times New Roman" w:eastAsia="微软雅黑"/>
        <w:sz w:val="20"/>
      </w:rPr>
      <w:t>2026-04-11 10:55:38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